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header9.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5.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header12.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МИНИСТЕРСТВО НАУКИ И ВЫСШЕГО ОБРАЗОВАНИЯ</w:t>
      </w:r>
    </w:p>
    <w:p>
      <w:pPr>
        <w:pStyle w:val="Normal"/>
        <w:suppressAutoHyphens w:val="false"/>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РОССИЙСКОЙ ФЕДЕРАЦИИ</w:t>
      </w:r>
    </w:p>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ФЕДЕРАЛЬНОЕ ГОСУДАРСТВЕННОЕ БЮДЖЕТНОЕ</w:t>
      </w:r>
    </w:p>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ОБРАЗОВАТЕЛЬНОЕ УЧРЕЖДЕНИЕ ВЫСШЕГО ОБРАЗОВАНИЯ</w:t>
      </w:r>
    </w:p>
    <w:p>
      <w:pPr>
        <w:pStyle w:val="Normal"/>
        <w:suppressAutoHyphens w:val="false"/>
        <w:spacing w:lineRule="auto" w:line="240"/>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«ОРЛОВСКИЙ ГОСУДАРСТВЕННЫЙ УНИВЕРСИТЕТ</w:t>
      </w:r>
    </w:p>
    <w:p>
      <w:pPr>
        <w:pStyle w:val="Normal"/>
        <w:suppressAutoHyphens w:val="false"/>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t>имени И.С.ТУРГЕНЕВА»</w:t>
      </w:r>
    </w:p>
    <w:p>
      <w:pPr>
        <w:pStyle w:val="Normal"/>
        <w:suppressAutoHyphens w:val="false"/>
        <w:spacing w:lineRule="auto" w:line="259"/>
        <w:ind w:hanging="0"/>
        <w:jc w:val="center"/>
        <w:rPr>
          <w:rFonts w:ascii="Times New Roman" w:hAnsi="Times New Roman"/>
          <w:b/>
          <w:bCs/>
          <w:sz w:val="28"/>
          <w:szCs w:val="28"/>
          <w:lang w:eastAsia="ru-RU"/>
        </w:rPr>
      </w:pPr>
      <w:r>
        <w:rPr>
          <w:rFonts w:ascii="Times New Roman" w:hAnsi="Times New Roman"/>
          <w:b/>
          <w:bCs/>
          <w:sz w:val="28"/>
          <w:szCs w:val="28"/>
          <w:lang w:eastAsia="ru-RU"/>
        </w:rPr>
      </w:r>
    </w:p>
    <w:p>
      <w:pPr>
        <w:pStyle w:val="Normal"/>
        <w:suppressAutoHyphens w:val="false"/>
        <w:spacing w:lineRule="auto" w:line="259"/>
        <w:ind w:hanging="0"/>
        <w:jc w:val="start"/>
        <w:rPr>
          <w:rFonts w:ascii="Times New Roman" w:hAnsi="Times New Roman"/>
          <w:b/>
          <w:bCs/>
          <w:sz w:val="28"/>
          <w:szCs w:val="28"/>
          <w:lang w:eastAsia="ru-RU"/>
        </w:rPr>
      </w:pPr>
      <w:r>
        <w:rPr>
          <w:rFonts w:ascii="Times New Roman" w:hAnsi="Times New Roman"/>
          <w:b/>
          <w:bCs/>
          <w:sz w:val="28"/>
          <w:szCs w:val="28"/>
          <w:lang w:eastAsia="ru-RU"/>
        </w:rPr>
      </w:r>
    </w:p>
    <w:p>
      <w:pPr>
        <w:pStyle w:val="Normal"/>
        <w:suppressAutoHyphens w:val="false"/>
        <w:spacing w:lineRule="auto" w:line="259"/>
        <w:ind w:hanging="0"/>
        <w:jc w:val="center"/>
        <w:rPr>
          <w:rFonts w:ascii="Times New Roman" w:hAnsi="Times New Roman"/>
          <w:sz w:val="28"/>
          <w:szCs w:val="28"/>
          <w:lang w:eastAsia="ru-RU"/>
        </w:rPr>
      </w:pPr>
      <w:r>
        <w:rPr>
          <w:rFonts w:ascii="Times New Roman" w:hAnsi="Times New Roman"/>
          <w:sz w:val="28"/>
          <w:szCs w:val="28"/>
          <w:lang w:eastAsia="ru-RU"/>
        </w:rPr>
        <w:t>ВЫПУСКНАЯ КВАЛИФИКАЦИОННАЯ РАБОТА</w:t>
      </w:r>
    </w:p>
    <w:p>
      <w:pPr>
        <w:pStyle w:val="Normal"/>
        <w:suppressAutoHyphens w:val="false"/>
        <w:spacing w:lineRule="auto" w:line="259"/>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t>по направлению подготовки 11.04.03 Конструирование и технология электронных средств</w:t>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Студента Остапова Владислава Руслановича</w:t>
        <w:tab/>
        <w:t>шифр 245116</w:t>
      </w:r>
    </w:p>
    <w:p>
      <w:pPr>
        <w:pStyle w:val="Normal"/>
        <w:suppressAutoHyphens w:val="false"/>
        <w:spacing w:lineRule="auto" w:line="259"/>
        <w:ind w:firstLine="708" w:start="708"/>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40"/>
        <w:ind w:hanging="0" w:end="-185"/>
        <w:jc w:val="start"/>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pPr>
        <w:pStyle w:val="Normal"/>
        <w:suppressAutoHyphens w:val="false"/>
        <w:spacing w:lineRule="auto" w:line="259"/>
        <w:ind w:firstLine="708" w:start="708"/>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40"/>
        <w:ind w:hanging="0" w:end="-185"/>
        <w:jc w:val="start"/>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pPr>
        <w:pStyle w:val="Normal"/>
        <w:suppressAutoHyphens w:val="false"/>
        <w:spacing w:lineRule="auto" w:line="240"/>
        <w:ind w:hanging="0" w:end="-185"/>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40"/>
        <w:ind w:hanging="0" w:end="-185"/>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t>Тема выпускной квалификационной работы</w:t>
      </w:r>
    </w:p>
    <w:p>
      <w:pPr>
        <w:pStyle w:val="Normal"/>
        <w:suppressAutoHyphens w:val="false"/>
        <w:spacing w:lineRule="auto" w:line="240"/>
        <w:ind w:hanging="0" w:end="-185"/>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firstLine="426" w:end="849"/>
        <w:jc w:val="center"/>
        <w:rPr>
          <w:rFonts w:ascii="Times New Roman" w:hAnsi="Times New Roman"/>
          <w:sz w:val="28"/>
          <w:szCs w:val="28"/>
          <w:lang w:eastAsia="ru-RU"/>
        </w:rPr>
      </w:pPr>
      <w:bookmarkStart w:id="0" w:name="_Hlk202188052"/>
      <w:bookmarkEnd w:id="0"/>
      <w:r>
        <w:rPr>
          <w:rFonts w:ascii="Times New Roman" w:hAnsi="Times New Roman"/>
          <w:sz w:val="28"/>
          <w:szCs w:val="28"/>
          <w:lang w:eastAsia="ru-RU"/>
        </w:rPr>
        <w:t>Устройство определения параметров периодических сигналов в условиях помех</w:t>
      </w:r>
    </w:p>
    <w:p>
      <w:pPr>
        <w:pStyle w:val="Normal"/>
        <w:suppressAutoHyphens w:val="false"/>
        <w:spacing w:lineRule="auto" w:line="240"/>
        <w:ind w:hanging="0" w:end="-185"/>
        <w:jc w:val="center"/>
        <w:rPr>
          <w:rFonts w:ascii="Times New Roman" w:hAnsi="Times New Roman"/>
          <w:sz w:val="24"/>
          <w:szCs w:val="24"/>
          <w:lang w:eastAsia="ru-RU"/>
        </w:rPr>
      </w:pPr>
      <w:r>
        <w:rPr>
          <w:rFonts w:ascii="Times New Roman" w:hAnsi="Times New Roman"/>
          <w:sz w:val="24"/>
          <w:szCs w:val="24"/>
          <w:lang w:eastAsia="ru-RU"/>
        </w:rPr>
      </w:r>
      <w:bookmarkStart w:id="1" w:name="_Hlk202188052"/>
      <w:bookmarkStart w:id="2" w:name="_Hlk202188052"/>
      <w:bookmarkEnd w:id="2"/>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Студент</w:t>
        <w:tab/>
        <w:tab/>
        <w:tab/>
        <w:tab/>
        <w:t>______________</w:t>
        <w:tab/>
        <w:tab/>
      </w:r>
      <w:r>
        <w:rPr>
          <w:rFonts w:ascii="Times New Roman" w:hAnsi="Times New Roman"/>
          <w:sz w:val="28"/>
          <w:szCs w:val="28"/>
          <w:lang w:eastAsia="ru-RU"/>
        </w:rPr>
        <w:t>Остапов</w:t>
      </w:r>
      <w:r>
        <w:rPr>
          <w:rFonts w:eastAsia="Calibri" w:ascii="Times New Roman" w:hAnsi="Times New Roman"/>
          <w:sz w:val="28"/>
          <w:szCs w:val="28"/>
          <w:lang w:eastAsia="en-US"/>
        </w:rPr>
        <w:t xml:space="preserve"> В.Р.</w:t>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Научный руководитель</w:t>
        <w:tab/>
        <w:tab/>
        <w:t>______________</w:t>
        <w:tab/>
        <w:tab/>
        <w:t>Донцов В.М.</w:t>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Нормоконтроль</w:t>
        <w:tab/>
        <w:tab/>
        <w:tab/>
        <w:t>______________</w:t>
        <w:tab/>
        <w:tab/>
      </w:r>
      <w:r>
        <w:rPr>
          <w:rFonts w:eastAsia="Calibri" w:ascii="Times New Roman" w:hAnsi="Times New Roman"/>
          <w:sz w:val="28"/>
          <w:szCs w:val="28"/>
          <w:highlight w:val="yellow"/>
          <w:lang w:eastAsia="en-US"/>
        </w:rPr>
        <w:t>Лобанова В.А.</w:t>
      </w:r>
    </w:p>
    <w:p>
      <w:pPr>
        <w:pStyle w:val="Normal"/>
        <w:suppressAutoHyphens w:val="false"/>
        <w:ind w:hanging="0"/>
        <w:rPr>
          <w:rFonts w:ascii="Times New Roman" w:hAnsi="Times New Roman" w:eastAsia="Calibri"/>
          <w:sz w:val="28"/>
          <w:szCs w:val="28"/>
          <w:lang w:eastAsia="en-US"/>
        </w:rPr>
      </w:pPr>
      <w:r>
        <w:rPr>
          <w:rFonts w:eastAsia="Calibri" w:ascii="Times New Roman" w:hAnsi="Times New Roman"/>
          <w:sz w:val="28"/>
          <w:szCs w:val="28"/>
          <w:lang w:eastAsia="en-US"/>
        </w:rPr>
        <w:t>Зав. кафедрой</w:t>
        <w:tab/>
        <w:tab/>
        <w:tab/>
        <w:t>______________</w:t>
        <w:tab/>
        <w:tab/>
        <w:t>Мишин В.В.</w:t>
      </w:r>
    </w:p>
    <w:p>
      <w:pPr>
        <w:pStyle w:val="Normal"/>
        <w:suppressAutoHyphens w:val="false"/>
        <w:ind w:hanging="0"/>
        <w:jc w:val="center"/>
        <w:rPr>
          <w:rFonts w:ascii="Times New Roman" w:hAnsi="Times New Roman"/>
          <w:iCs/>
          <w:sz w:val="28"/>
          <w:szCs w:val="28"/>
          <w:lang w:eastAsia="ru-RU"/>
        </w:rPr>
      </w:pPr>
      <w:r>
        <w:rPr>
          <w:rFonts w:ascii="Times New Roman" w:hAnsi="Times New Roman"/>
          <w:iCs/>
          <w:sz w:val="28"/>
          <w:szCs w:val="28"/>
          <w:lang w:eastAsia="ru-RU"/>
        </w:rPr>
      </w:r>
    </w:p>
    <w:p>
      <w:pPr>
        <w:pStyle w:val="Normal"/>
        <w:suppressAutoHyphens w:val="false"/>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r>
    </w:p>
    <w:p>
      <w:pPr>
        <w:sectPr>
          <w:headerReference w:type="even" r:id="rId2"/>
          <w:headerReference w:type="default" r:id="rId3"/>
          <w:headerReference w:type="first" r:id="rId4"/>
          <w:type w:val="nextPage"/>
          <w:pgSz w:w="11906" w:h="16838"/>
          <w:pgMar w:left="1418" w:right="567" w:gutter="0" w:header="709" w:top="1134" w:footer="0" w:bottom="1134"/>
          <w:pgNumType w:fmt="decimal"/>
          <w:formProt w:val="false"/>
          <w:titlePg/>
          <w:textDirection w:val="lrTb"/>
          <w:docGrid w:type="default" w:linePitch="360" w:charSpace="0"/>
        </w:sect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t>Орел, 2026</w:t>
      </w:r>
    </w:p>
    <w:p>
      <w:pPr>
        <w:pStyle w:val="Normal"/>
        <w:suppressAutoHyphens w:val="false"/>
        <w:spacing w:lineRule="auto" w:line="240" w:before="0" w:after="12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МИНИСТЕРСТВО НАУКИ И ВЫСШЕГО ОБРАЗОВАНИЯ</w:t>
        <w:br/>
        <w:t>РОССИЙСКОЙ ФЕДЕРАЦИИ</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ФЕДЕРАЛЬНОЕ ГОСУДАРСТВЕННОЕ БЮДЖЕТНОЕ</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ОБРАЗОВАТЕЛЬНОЕ УЧРЕЖДЕНИЕ ВЫСШЕГО ОБРАЗОВАНИЯ</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«ОРЛОВСКИЙ ГОСУДАРСТВЕННЫЙ УНИВЕРСИТЕТ</w:t>
      </w:r>
    </w:p>
    <w:p>
      <w:pPr>
        <w:pStyle w:val="Normal"/>
        <w:suppressAutoHyphens w:val="false"/>
        <w:spacing w:lineRule="auto" w:line="240"/>
        <w:ind w:hanging="0"/>
        <w:jc w:val="center"/>
        <w:rPr>
          <w:rFonts w:ascii="Times New Roman" w:hAnsi="Times New Roman"/>
          <w:color w:val="000000"/>
          <w:sz w:val="28"/>
          <w:szCs w:val="28"/>
          <w:lang w:eastAsia="ru-RU"/>
        </w:rPr>
      </w:pPr>
      <w:r>
        <w:rPr>
          <w:rFonts w:ascii="Times New Roman" w:hAnsi="Times New Roman"/>
          <w:color w:val="000000"/>
          <w:sz w:val="28"/>
          <w:szCs w:val="28"/>
          <w:lang w:eastAsia="ru-RU"/>
        </w:rPr>
        <w:t>имени И.С. ТУРГЕНЕВА»</w:t>
      </w:r>
    </w:p>
    <w:p>
      <w:pPr>
        <w:pStyle w:val="Normal"/>
        <w:suppressAutoHyphens w:val="false"/>
        <w:spacing w:lineRule="auto" w:line="240"/>
        <w:ind w:hanging="180" w:end="-185"/>
        <w:jc w:val="center"/>
        <w:rPr>
          <w:rFonts w:ascii="Times New Roman" w:hAnsi="Times New Roman"/>
          <w:caps/>
          <w:sz w:val="28"/>
          <w:szCs w:val="28"/>
          <w:lang w:eastAsia="ru-RU"/>
        </w:rPr>
      </w:pPr>
      <w:r>
        <w:rPr>
          <w:rFonts w:ascii="Times New Roman" w:hAnsi="Times New Roman"/>
          <w:caps/>
          <w:sz w:val="28"/>
          <w:szCs w:val="28"/>
          <w:lang w:eastAsia="ru-RU"/>
        </w:rPr>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Институт приборостроения, автоматизации и информационных технологий</w:t>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Кафедра электроники, радиотехники и систем связи</w:t>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Направление подготовки 11.04.03 Конструирование и технология электронных средств</w:t>
      </w:r>
    </w:p>
    <w:p>
      <w:pPr>
        <w:pStyle w:val="Normal"/>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Направленность (профиль) Информационные технологии проектирования радиоэлектронных средств и изделий микроэлектроники</w:t>
      </w:r>
    </w:p>
    <w:p>
      <w:pPr>
        <w:pStyle w:val="Normal"/>
        <w:suppressAutoHyphens w:val="false"/>
        <w:spacing w:lineRule="auto" w:line="336"/>
        <w:ind w:firstLine="5720"/>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336"/>
        <w:ind w:firstLine="5720"/>
        <w:jc w:val="start"/>
        <w:rPr>
          <w:rFonts w:ascii="Times New Roman" w:hAnsi="Times New Roman"/>
          <w:sz w:val="24"/>
          <w:szCs w:val="24"/>
          <w:u w:val="single"/>
          <w:lang w:eastAsia="ru-RU"/>
        </w:rPr>
      </w:pPr>
      <w:r>
        <w:rPr>
          <w:rFonts w:ascii="Times New Roman" w:hAnsi="Times New Roman"/>
          <w:sz w:val="24"/>
          <w:szCs w:val="24"/>
          <w:lang w:eastAsia="ru-RU"/>
        </w:rPr>
        <w:t>УТВЕРЖДАЮ:</w:t>
      </w:r>
    </w:p>
    <w:p>
      <w:pPr>
        <w:pStyle w:val="Normal"/>
        <w:suppressAutoHyphens w:val="false"/>
        <w:spacing w:lineRule="auto" w:line="336"/>
        <w:ind w:firstLine="5720"/>
        <w:jc w:val="start"/>
        <w:rPr>
          <w:rFonts w:ascii="Times New Roman" w:hAnsi="Times New Roman"/>
          <w:sz w:val="24"/>
          <w:szCs w:val="24"/>
          <w:u w:val="single"/>
          <w:lang w:eastAsia="ru-RU"/>
        </w:rPr>
      </w:pPr>
      <w:r>
        <w:rPr>
          <w:rFonts w:ascii="Times New Roman" w:hAnsi="Times New Roman"/>
          <w:sz w:val="24"/>
          <w:szCs w:val="24"/>
          <w:lang w:eastAsia="ru-RU"/>
        </w:rPr>
        <w:t>Зав. кафедрой</w:t>
        <w:tab/>
      </w:r>
    </w:p>
    <w:p>
      <w:pPr>
        <w:pStyle w:val="Normal"/>
        <w:suppressAutoHyphens w:val="false"/>
        <w:spacing w:lineRule="auto" w:line="336"/>
        <w:ind w:firstLine="5720"/>
        <w:jc w:val="start"/>
        <w:rPr>
          <w:rFonts w:ascii="Times New Roman" w:hAnsi="Times New Roman"/>
          <w:sz w:val="24"/>
          <w:szCs w:val="24"/>
          <w:lang w:eastAsia="ru-RU"/>
        </w:rPr>
      </w:pPr>
      <w:r>
        <w:rPr>
          <w:rFonts w:ascii="Times New Roman" w:hAnsi="Times New Roman"/>
          <w:sz w:val="24"/>
          <w:szCs w:val="24"/>
          <w:lang w:eastAsia="ru-RU"/>
        </w:rPr>
        <w:t>_____________ В.В. Мишин</w:t>
      </w:r>
    </w:p>
    <w:p>
      <w:pPr>
        <w:pStyle w:val="Normal"/>
        <w:suppressAutoHyphens w:val="false"/>
        <w:spacing w:lineRule="auto" w:line="336"/>
        <w:ind w:firstLine="5720"/>
        <w:jc w:val="start"/>
        <w:rPr>
          <w:rFonts w:ascii="Times New Roman" w:hAnsi="Times New Roman"/>
          <w:sz w:val="24"/>
          <w:szCs w:val="24"/>
          <w:u w:val="single"/>
          <w:lang w:eastAsia="ru-RU"/>
        </w:rPr>
      </w:pPr>
      <w:r>
        <w:rPr>
          <w:rFonts w:ascii="Times New Roman" w:hAnsi="Times New Roman"/>
          <w:sz w:val="24"/>
          <w:szCs w:val="24"/>
          <w:lang w:eastAsia="ru-RU"/>
        </w:rPr>
        <w:t>«____»  ____________ 2025 г.</w:t>
      </w:r>
    </w:p>
    <w:p>
      <w:pPr>
        <w:pStyle w:val="Normal"/>
        <w:suppressAutoHyphens w:val="false"/>
        <w:spacing w:lineRule="auto" w:line="240"/>
        <w:ind w:hanging="0"/>
        <w:jc w:val="center"/>
        <w:rPr>
          <w:rFonts w:ascii="Times New Roman" w:hAnsi="Times New Roman"/>
          <w:b/>
          <w:bCs/>
          <w:sz w:val="24"/>
          <w:szCs w:val="24"/>
          <w:lang w:eastAsia="ru-RU"/>
        </w:rPr>
      </w:pPr>
      <w:r>
        <w:rPr>
          <w:rFonts w:ascii="Times New Roman" w:hAnsi="Times New Roman"/>
          <w:b/>
          <w:bCs/>
          <w:sz w:val="24"/>
          <w:szCs w:val="24"/>
          <w:lang w:eastAsia="ru-RU"/>
        </w:rPr>
      </w:r>
    </w:p>
    <w:p>
      <w:pPr>
        <w:pStyle w:val="Normal"/>
        <w:suppressAutoHyphens w:val="false"/>
        <w:spacing w:lineRule="auto" w:line="240"/>
        <w:ind w:hanging="0"/>
        <w:jc w:val="center"/>
        <w:rPr>
          <w:rFonts w:ascii="Times New Roman" w:hAnsi="Times New Roman"/>
          <w:b/>
          <w:bCs/>
          <w:sz w:val="28"/>
          <w:szCs w:val="28"/>
          <w:lang w:eastAsia="ru-RU"/>
        </w:rPr>
      </w:pPr>
      <w:r>
        <w:rPr>
          <w:rFonts w:ascii="Times New Roman" w:hAnsi="Times New Roman"/>
          <w:b/>
          <w:bCs/>
          <w:sz w:val="28"/>
          <w:szCs w:val="28"/>
          <w:lang w:eastAsia="ru-RU"/>
        </w:rPr>
        <w:t>ЗАДАНИЕ</w:t>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t xml:space="preserve">на выполнение выпускной квалификационной работы </w:t>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студента Остапова Владислава Руслановича шифр 245116</w:t>
      </w:r>
    </w:p>
    <w:p>
      <w:pPr>
        <w:pStyle w:val="Normal"/>
        <w:suppressAutoHyphens w:val="false"/>
        <w:spacing w:lineRule="auto" w:line="240"/>
        <w:ind w:firstLine="708" w:start="1416"/>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40"/>
        <w:ind w:hanging="0"/>
        <w:rPr>
          <w:rFonts w:ascii="Times New Roman" w:hAnsi="Times New Roman"/>
          <w:color w:val="000000"/>
          <w:sz w:val="28"/>
          <w:szCs w:val="28"/>
          <w:lang w:eastAsia="ru-RU"/>
        </w:rPr>
      </w:pPr>
      <w:r>
        <w:rPr>
          <w:rFonts w:ascii="Times New Roman" w:hAnsi="Times New Roman"/>
          <w:color w:val="000000"/>
          <w:sz w:val="28"/>
          <w:szCs w:val="28"/>
          <w:lang w:eastAsia="ru-RU"/>
        </w:rPr>
        <w:t xml:space="preserve">1. Тема ВКР </w:t>
      </w:r>
      <w:r>
        <w:rPr>
          <w:rFonts w:eastAsia="Calibri" w:ascii="Times New Roman" w:hAnsi="Times New Roman"/>
          <w:sz w:val="28"/>
          <w:szCs w:val="28"/>
          <w:u w:val="single"/>
          <w:shd w:fill="FFFFFF" w:val="clear"/>
          <w:lang w:eastAsia="en-US"/>
        </w:rPr>
        <w:t>Устройство определения параметров периодических сигналов в условиях помех</w:t>
      </w:r>
    </w:p>
    <w:p>
      <w:pPr>
        <w:pStyle w:val="Normal"/>
        <w:widowControl w:val="false"/>
        <w:suppressAutoHyphens w:val="false"/>
        <w:spacing w:lineRule="auto" w:line="240" w:before="120" w:after="0"/>
        <w:ind w:hanging="0"/>
        <w:rPr>
          <w:rFonts w:ascii="Times New Roman" w:hAnsi="Times New Roman"/>
          <w:sz w:val="28"/>
          <w:szCs w:val="28"/>
          <w:lang w:eastAsia="ru-RU"/>
        </w:rPr>
      </w:pPr>
      <w:r>
        <w:rPr>
          <w:rFonts w:ascii="Times New Roman" w:hAnsi="Times New Roman"/>
          <w:sz w:val="28"/>
          <w:szCs w:val="28"/>
          <w:lang w:eastAsia="ru-RU"/>
        </w:rPr>
        <w:t>Утверждена приказом по университету от «</w:t>
      </w:r>
      <w:r>
        <w:rPr>
          <w:rFonts w:eastAsia="Calibri" w:ascii="Times New Roman" w:hAnsi="Times New Roman"/>
          <w:sz w:val="28"/>
          <w:szCs w:val="28"/>
          <w:u w:val="single"/>
          <w:lang w:eastAsia="en-US"/>
        </w:rPr>
        <w:t>02</w:t>
      </w:r>
      <w:r>
        <w:rPr>
          <w:rFonts w:ascii="Times New Roman" w:hAnsi="Times New Roman"/>
          <w:sz w:val="28"/>
          <w:szCs w:val="28"/>
          <w:lang w:eastAsia="ru-RU"/>
        </w:rPr>
        <w:t xml:space="preserve"> »</w:t>
      </w:r>
      <w:r>
        <w:rPr>
          <w:rFonts w:eastAsia="Calibri" w:ascii="Times New Roman" w:hAnsi="Times New Roman"/>
          <w:sz w:val="28"/>
          <w:szCs w:val="28"/>
          <w:u w:val="single"/>
          <w:lang w:eastAsia="en-US"/>
        </w:rPr>
        <w:t xml:space="preserve"> октября</w:t>
      </w:r>
      <w:r>
        <w:rPr>
          <w:rFonts w:ascii="Times New Roman" w:hAnsi="Times New Roman"/>
          <w:sz w:val="28"/>
          <w:szCs w:val="28"/>
          <w:u w:val="single"/>
          <w:lang w:eastAsia="ru-RU"/>
        </w:rPr>
        <w:t xml:space="preserve"> </w:t>
      </w:r>
      <w:r>
        <w:rPr>
          <w:rFonts w:ascii="Times New Roman" w:hAnsi="Times New Roman"/>
          <w:sz w:val="28"/>
          <w:szCs w:val="28"/>
          <w:lang w:eastAsia="ru-RU"/>
        </w:rPr>
        <w:t xml:space="preserve">2025 года  № </w:t>
      </w:r>
      <w:r>
        <w:rPr>
          <w:rFonts w:eastAsia="Calibri"/>
          <w:sz w:val="28"/>
          <w:szCs w:val="28"/>
          <w:u w:val="single"/>
          <w:lang w:eastAsia="en-US"/>
        </w:rPr>
        <w:t>8-169</w:t>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2. Срок сдачи студентом законченной работы «</w:t>
      </w:r>
      <w:r>
        <w:rPr>
          <w:rFonts w:ascii="Times New Roman" w:hAnsi="Times New Roman"/>
          <w:sz w:val="28"/>
          <w:szCs w:val="28"/>
          <w:u w:val="single"/>
          <w:lang w:eastAsia="ru-RU"/>
        </w:rPr>
        <w:t>03</w:t>
      </w:r>
      <w:r>
        <w:rPr>
          <w:rFonts w:ascii="Times New Roman" w:hAnsi="Times New Roman"/>
          <w:sz w:val="28"/>
          <w:szCs w:val="28"/>
          <w:lang w:eastAsia="ru-RU"/>
        </w:rPr>
        <w:t xml:space="preserve"> »</w:t>
      </w:r>
      <w:r>
        <w:rPr>
          <w:rFonts w:ascii="Times New Roman" w:hAnsi="Times New Roman"/>
          <w:sz w:val="28"/>
          <w:szCs w:val="28"/>
          <w:u w:val="single"/>
          <w:lang w:eastAsia="ru-RU"/>
        </w:rPr>
        <w:t xml:space="preserve">июня </w:t>
      </w:r>
      <w:r>
        <w:rPr>
          <w:rFonts w:ascii="Times New Roman" w:hAnsi="Times New Roman"/>
          <w:sz w:val="28"/>
          <w:szCs w:val="28"/>
          <w:lang w:eastAsia="ru-RU"/>
        </w:rPr>
        <w:t xml:space="preserve">2026 года  </w:t>
      </w:r>
    </w:p>
    <w:p>
      <w:pPr>
        <w:pStyle w:val="Normal"/>
        <w:widowControl w:val="false"/>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r>
    </w:p>
    <w:p>
      <w:pPr>
        <w:pStyle w:val="Normal"/>
        <w:tabs>
          <w:tab w:val="clear" w:pos="708"/>
          <w:tab w:val="left" w:pos="2828" w:leader="none"/>
        </w:tabs>
        <w:suppressAutoHyphens w:val="false"/>
        <w:spacing w:lineRule="auto" w:line="240"/>
        <w:ind w:hanging="0"/>
        <w:rPr>
          <w:rFonts w:ascii="Times New Roman" w:hAnsi="Times New Roman"/>
          <w:sz w:val="28"/>
          <w:szCs w:val="28"/>
          <w:lang w:eastAsia="ru-RU"/>
        </w:rPr>
      </w:pPr>
      <w:r>
        <w:rPr>
          <w:rFonts w:ascii="Times New Roman" w:hAnsi="Times New Roman"/>
          <w:sz w:val="28"/>
          <w:szCs w:val="28"/>
          <w:lang w:eastAsia="ru-RU"/>
        </w:rPr>
        <w:t xml:space="preserve">3. Исходные данные к работе: </w:t>
      </w:r>
    </w:p>
    <w:p>
      <w:pPr>
        <w:pStyle w:val="Normal"/>
        <w:tabs>
          <w:tab w:val="clear" w:pos="708"/>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 xml:space="preserve">объект исследования – периодические электрические сигналы в условиях помех; </w:t>
      </w:r>
    </w:p>
    <w:p>
      <w:pPr>
        <w:pStyle w:val="Normal"/>
        <w:tabs>
          <w:tab w:val="clear" w:pos="708"/>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предмет исследования – программно-аппаратная реализация измерения параметров периодических сигналов;</w:t>
      </w:r>
    </w:p>
    <w:p>
      <w:pPr>
        <w:pStyle w:val="Normal"/>
        <w:tabs>
          <w:tab w:val="clear" w:pos="708"/>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цель исследования – создание устройства измерения параметров периодических сигналов обеспечивающего заданную точность измерения в условиях помех</w:t>
      </w:r>
    </w:p>
    <w:p>
      <w:pPr>
        <w:pStyle w:val="Normal"/>
        <w:tabs>
          <w:tab w:val="clear" w:pos="708"/>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r>
    </w:p>
    <w:p>
      <w:pPr>
        <w:pStyle w:val="Normal"/>
        <w:suppressAutoHyphens w:val="false"/>
        <w:ind w:hanging="0"/>
        <w:rPr>
          <w:rFonts w:ascii="Times New Roman" w:hAnsi="Times New Roman"/>
          <w:sz w:val="28"/>
          <w:szCs w:val="28"/>
          <w:lang w:eastAsia="ru-RU"/>
        </w:rPr>
      </w:pPr>
      <w:r>
        <w:rPr>
          <w:rFonts w:ascii="Times New Roman" w:hAnsi="Times New Roman"/>
          <w:color w:val="000000"/>
          <w:sz w:val="28"/>
          <w:szCs w:val="28"/>
          <w:lang w:eastAsia="ru-RU"/>
        </w:rPr>
        <w:t xml:space="preserve">4. </w:t>
      </w:r>
      <w:r>
        <w:rPr>
          <w:rFonts w:ascii="Times New Roman" w:hAnsi="Times New Roman"/>
          <w:sz w:val="28"/>
          <w:szCs w:val="28"/>
          <w:lang w:eastAsia="ru-RU"/>
        </w:rPr>
        <w:t>Содержание ВКР (перечень подлежащих разработке вопросов)</w:t>
      </w:r>
    </w:p>
    <w:p>
      <w:pPr>
        <w:pStyle w:val="Normal"/>
        <w:tabs>
          <w:tab w:val="clear" w:pos="708"/>
          <w:tab w:val="left" w:pos="2828" w:leader="none"/>
        </w:tabs>
        <w:suppressAutoHyphens w:val="false"/>
        <w:spacing w:lineRule="auto" w:line="24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4.1 Аналитический раздел;</w:t>
      </w:r>
    </w:p>
    <w:p>
      <w:pPr>
        <w:pStyle w:val="Normal"/>
        <w:tabs>
          <w:tab w:val="clear" w:pos="708"/>
          <w:tab w:val="left" w:pos="2828" w:leader="none"/>
        </w:tabs>
        <w:suppressAutoHyphens w:val="false"/>
        <w:spacing w:lineRule="auto" w:line="240" w:before="120" w:after="0"/>
        <w:ind w:hanging="0"/>
        <w:rPr>
          <w:rFonts w:ascii="Times New Roman" w:hAnsi="Times New Roman"/>
          <w:i/>
          <w:i/>
          <w:iCs/>
          <w:sz w:val="28"/>
          <w:szCs w:val="28"/>
          <w:u w:val="single"/>
          <w:lang w:eastAsia="ru-RU"/>
        </w:rPr>
      </w:pPr>
      <w:r>
        <w:rPr>
          <w:rFonts w:ascii="Times New Roman" w:hAnsi="Times New Roman"/>
          <w:i/>
          <w:iCs/>
          <w:sz w:val="28"/>
          <w:szCs w:val="28"/>
          <w:u w:val="single"/>
          <w:lang w:eastAsia="ru-RU"/>
        </w:rPr>
        <w:t xml:space="preserve">4.2 Исследовательский раздел; </w:t>
      </w:r>
    </w:p>
    <w:p>
      <w:pPr>
        <w:pStyle w:val="Normal"/>
        <w:tabs>
          <w:tab w:val="clear" w:pos="708"/>
          <w:tab w:val="left" w:pos="2828" w:leader="none"/>
        </w:tabs>
        <w:suppressAutoHyphens w:val="false"/>
        <w:spacing w:lineRule="auto" w:line="240" w:before="120" w:after="0"/>
        <w:ind w:hanging="0"/>
        <w:rPr>
          <w:rFonts w:ascii="Times New Roman" w:hAnsi="Times New Roman"/>
          <w:sz w:val="28"/>
          <w:szCs w:val="28"/>
          <w:u w:val="single"/>
          <w:lang w:eastAsia="ru-RU"/>
        </w:rPr>
      </w:pPr>
      <w:r>
        <w:rPr>
          <w:rFonts w:ascii="Times New Roman" w:hAnsi="Times New Roman"/>
          <w:i/>
          <w:iCs/>
          <w:sz w:val="28"/>
          <w:szCs w:val="28"/>
          <w:u w:val="single"/>
          <w:lang w:eastAsia="ru-RU"/>
        </w:rPr>
        <w:t>4.3 Практический раздел</w:t>
      </w:r>
      <w:r>
        <w:rPr>
          <w:rFonts w:ascii="Times New Roman" w:hAnsi="Times New Roman"/>
          <w:sz w:val="28"/>
          <w:szCs w:val="28"/>
          <w:u w:val="single"/>
          <w:lang w:eastAsia="ru-RU"/>
        </w:rPr>
        <w:t>.</w:t>
      </w:r>
    </w:p>
    <w:p>
      <w:pPr>
        <w:sectPr>
          <w:headerReference w:type="default" r:id="rId5"/>
          <w:headerReference w:type="first" r:id="rId6"/>
          <w:type w:val="nextPage"/>
          <w:pgSz w:w="11906" w:h="16838"/>
          <w:pgMar w:left="1418" w:right="567" w:gutter="0" w:header="708" w:top="1134" w:footer="0" w:bottom="1134"/>
          <w:pgNumType w:fmt="decimal"/>
          <w:formProt w:val="false"/>
          <w:titlePg/>
          <w:textDirection w:val="lrTb"/>
          <w:docGrid w:type="default" w:linePitch="360" w:charSpace="0"/>
        </w:sectPr>
        <w:pStyle w:val="Normal"/>
        <w:tabs>
          <w:tab w:val="clear" w:pos="708"/>
          <w:tab w:val="left" w:pos="2828" w:leader="none"/>
        </w:tabs>
        <w:suppressAutoHyphens w:val="false"/>
        <w:spacing w:lineRule="auto" w:line="240" w:before="120" w:after="0"/>
        <w:ind w:hanging="0"/>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336"/>
        <w:ind w:hanging="0"/>
        <w:jc w:val="start"/>
        <w:rPr>
          <w:rFonts w:ascii="Times New Roman" w:hAnsi="Times New Roman"/>
          <w:sz w:val="28"/>
          <w:szCs w:val="28"/>
          <w:u w:val="single"/>
          <w:lang w:eastAsia="ru-RU"/>
        </w:rPr>
      </w:pPr>
      <w:r>
        <mc:AlternateContent>
          <mc:Choice Requires="wps">
            <w:drawing>
              <wp:anchor behindDoc="0" distT="0" distB="0" distL="114300" distR="114300" simplePos="0" locked="0" layoutInCell="1" allowOverlap="1" relativeHeight="9">
                <wp:simplePos x="0" y="0"/>
                <wp:positionH relativeFrom="column">
                  <wp:posOffset>2861945</wp:posOffset>
                </wp:positionH>
                <wp:positionV relativeFrom="paragraph">
                  <wp:posOffset>-476885</wp:posOffset>
                </wp:positionV>
                <wp:extent cx="666750" cy="295275"/>
                <wp:effectExtent l="635" t="635" r="635" b="635"/>
                <wp:wrapNone/>
                <wp:docPr id="1" name="Прямоугольник 15"/>
                <a:graphic xmlns:a="http://schemas.openxmlformats.org/drawingml/2006/main">
                  <a:graphicData uri="http://schemas.microsoft.com/office/word/2010/wordprocessingShape">
                    <wps:wsp>
                      <wps:cNvSpPr/>
                      <wps:nvSpPr>
                        <wps:cNvPr id="2" name="Прямоугольник 15"/>
                        <wps:cNvSpPr/>
                      </wps:nvSpPr>
                      <wps:spPr>
                        <a:xfrm>
                          <a:off x="0" y="0"/>
                          <a:ext cx="666720" cy="295200"/>
                        </a:xfrm>
                        <a:prstGeom prst="rect">
                          <a:avLst/>
                        </a:prstGeom>
                        <a:solidFill>
                          <a:srgbClr val="ffffff"/>
                        </a:solidFill>
                        <a:ln w="0">
                          <a:solidFill>
                            <a:srgbClr val="ffffff"/>
                          </a:solidFill>
                        </a:ln>
                      </wps:spPr>
                      <wps:bodyPr/>
                    </wps:wsp>
                  </a:graphicData>
                </a:graphic>
              </wp:anchor>
            </w:drawing>
          </mc:Choice>
          <mc:Fallback>
            <w:pict>
              <v:rect id="shape_0" ID="Прямоугольник 15" fillcolor="white" stroked="t" o:allowincell="f" style="position:absolute;margin-left:225.35pt;margin-top:-37.55pt;width:52.45pt;height:23.2pt;mso-wrap-style:none;v-text-anchor:middle">
                <v:fill o:detectmouseclick="t" type="solid" color2="black"/>
                <v:stroke color="white" joinstyle="round" endcap="flat"/>
                <w10:wrap type="none"/>
              </v:rect>
            </w:pict>
          </mc:Fallback>
        </mc:AlternateContent>
      </w:r>
      <w:r>
        <w:rPr>
          <w:rFonts w:ascii="Times New Roman" w:hAnsi="Times New Roman"/>
          <w:i/>
          <w:iCs/>
          <w:sz w:val="28"/>
          <w:szCs w:val="28"/>
          <w:lang w:eastAsia="ru-RU"/>
        </w:rPr>
        <w:t xml:space="preserve">5. </w:t>
      </w:r>
      <w:r>
        <w:rPr>
          <w:rFonts w:ascii="Times New Roman" w:hAnsi="Times New Roman"/>
          <w:sz w:val="28"/>
          <w:szCs w:val="28"/>
          <w:lang w:eastAsia="ru-RU"/>
        </w:rPr>
        <w:t xml:space="preserve">Перечень демонстрационного материала: </w:t>
      </w:r>
      <w:r>
        <w:rPr>
          <w:rFonts w:ascii="Times New Roman" w:hAnsi="Times New Roman"/>
          <w:sz w:val="28"/>
          <w:szCs w:val="28"/>
          <w:u w:val="single"/>
          <w:lang w:eastAsia="ru-RU"/>
        </w:rPr>
        <w:t>презентация, отражающая основные этапы и результаты выполнения ВКР</w:t>
      </w:r>
    </w:p>
    <w:p>
      <w:pPr>
        <w:pStyle w:val="Normal"/>
        <w:suppressAutoHyphens w:val="false"/>
        <w:spacing w:lineRule="auto" w:line="240"/>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jc w:val="start"/>
        <w:rPr>
          <w:rFonts w:ascii="Times New Roman" w:hAnsi="Times New Roman"/>
          <w:sz w:val="28"/>
          <w:szCs w:val="28"/>
          <w:lang w:eastAsia="ru-RU"/>
        </w:rPr>
      </w:pPr>
      <w:r>
        <w:rPr>
          <w:rFonts w:ascii="Times New Roman" w:hAnsi="Times New Roman"/>
          <w:sz w:val="28"/>
          <w:szCs w:val="28"/>
          <w:lang w:eastAsia="ru-RU"/>
        </w:rPr>
        <w:t>Дата выдачи задания «</w:t>
      </w:r>
      <w:r>
        <w:rPr>
          <w:rFonts w:ascii="Times New Roman" w:hAnsi="Times New Roman"/>
          <w:sz w:val="28"/>
          <w:szCs w:val="28"/>
          <w:u w:val="single"/>
          <w:lang w:eastAsia="ru-RU"/>
        </w:rPr>
        <w:t>02</w:t>
      </w:r>
      <w:r>
        <w:rPr>
          <w:rFonts w:ascii="Times New Roman" w:hAnsi="Times New Roman"/>
          <w:sz w:val="28"/>
          <w:szCs w:val="28"/>
          <w:lang w:eastAsia="ru-RU"/>
        </w:rPr>
        <w:t xml:space="preserve"> »</w:t>
      </w:r>
      <w:r>
        <w:rPr>
          <w:rFonts w:eastAsia="Calibri" w:ascii="Times New Roman" w:hAnsi="Times New Roman"/>
          <w:sz w:val="28"/>
          <w:szCs w:val="28"/>
          <w:u w:val="single"/>
          <w:lang w:eastAsia="en-US"/>
        </w:rPr>
        <w:t xml:space="preserve"> октября</w:t>
      </w:r>
      <w:r>
        <w:rPr>
          <w:rFonts w:ascii="Times New Roman" w:hAnsi="Times New Roman"/>
          <w:sz w:val="28"/>
          <w:szCs w:val="28"/>
          <w:lang w:eastAsia="ru-RU"/>
        </w:rPr>
        <w:t xml:space="preserve">  2025 г.</w:t>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Научный руководитель</w:t>
        <w:tab/>
        <w:tab/>
        <w:tab/>
        <w:t>___________________     Донцов В.М.</w:t>
      </w:r>
    </w:p>
    <w:p>
      <w:pPr>
        <w:pStyle w:val="Normal"/>
        <w:suppressAutoHyphens w:val="false"/>
        <w:spacing w:lineRule="auto" w:line="259"/>
        <w:ind w:firstLine="708" w:start="4248"/>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 xml:space="preserve">Задание принял к исполнению </w:t>
        <w:tab/>
        <w:t>___________________     Остапов</w:t>
      </w:r>
      <w:r>
        <w:rPr>
          <w:rFonts w:eastAsia="Calibri" w:ascii="Times New Roman" w:hAnsi="Times New Roman"/>
          <w:sz w:val="28"/>
          <w:szCs w:val="28"/>
          <w:lang w:eastAsia="en-US"/>
        </w:rPr>
        <w:t xml:space="preserve"> В.Р.</w:t>
      </w:r>
    </w:p>
    <w:p>
      <w:pPr>
        <w:pStyle w:val="Normal"/>
        <w:suppressAutoHyphens w:val="false"/>
        <w:spacing w:lineRule="auto" w:line="259"/>
        <w:ind w:firstLine="426" w:start="4530"/>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spacing w:lineRule="auto" w:line="240"/>
        <w:ind w:hanging="0"/>
        <w:jc w:val="center"/>
        <w:rPr>
          <w:rFonts w:ascii="Times New Roman" w:hAnsi="Times New Roman"/>
          <w:sz w:val="28"/>
          <w:szCs w:val="28"/>
          <w:lang w:eastAsia="ru-RU"/>
        </w:rPr>
      </w:pPr>
      <w:r>
        <w:rPr>
          <w:rFonts w:ascii="Times New Roman" w:hAnsi="Times New Roman"/>
          <w:sz w:val="28"/>
          <w:szCs w:val="28"/>
          <w:lang w:eastAsia="ru-RU"/>
        </w:rPr>
        <w:t>КАЛЕНДАРНЫЙ ПЛАН</w:t>
      </w:r>
    </w:p>
    <w:p>
      <w:pPr>
        <w:pStyle w:val="Normal"/>
        <w:suppressAutoHyphens w:val="false"/>
        <w:spacing w:lineRule="auto" w:line="259"/>
        <w:ind w:hanging="0"/>
        <w:jc w:val="start"/>
        <w:rPr>
          <w:rFonts w:ascii="Times New Roman" w:hAnsi="Times New Roman"/>
          <w:sz w:val="24"/>
          <w:szCs w:val="24"/>
          <w:lang w:eastAsia="ru-RU"/>
        </w:rPr>
      </w:pPr>
      <w:r>
        <w:rPr>
          <w:rFonts w:ascii="Times New Roman" w:hAnsi="Times New Roman"/>
          <w:sz w:val="24"/>
          <w:szCs w:val="24"/>
          <w:lang w:eastAsia="ru-RU"/>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14"/>
        <w:gridCol w:w="2551"/>
        <w:gridCol w:w="1651"/>
      </w:tblGrid>
      <w:tr>
        <w:trPr/>
        <w:tc>
          <w:tcPr>
            <w:tcW w:w="5614"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Наименование этапов</w:t>
            </w:r>
          </w:p>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ВКР</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Срок выполнения этапов работы</w:t>
            </w:r>
          </w:p>
        </w:tc>
        <w:tc>
          <w:tcPr>
            <w:tcW w:w="1651"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Примечание</w:t>
            </w:r>
          </w:p>
        </w:tc>
      </w:tr>
      <w:tr>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Подбор литературы, ее изучение и обработка. Составление библиографии по основным источникам.</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08</w:t>
            </w:r>
            <w:r>
              <w:rPr>
                <w:rFonts w:ascii="Times New Roman" w:hAnsi="Times New Roman"/>
                <w:sz w:val="24"/>
                <w:szCs w:val="24"/>
                <w:lang w:eastAsia="ru-RU"/>
              </w:rPr>
              <w:t>»</w:t>
            </w:r>
            <w:r>
              <w:rPr>
                <w:rFonts w:ascii="Times New Roman" w:hAnsi="Times New Roman"/>
                <w:i/>
                <w:sz w:val="24"/>
                <w:szCs w:val="24"/>
                <w:u w:val="single"/>
                <w:lang w:eastAsia="ru-RU"/>
              </w:rPr>
              <w:t xml:space="preserve">апреля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первого раздела.</w:t>
            </w:r>
          </w:p>
        </w:tc>
        <w:tc>
          <w:tcPr>
            <w:tcW w:w="2551" w:type="dxa"/>
            <w:tcBorders>
              <w:top w:val="single" w:sz="4" w:space="0" w:color="000000"/>
              <w:start w:val="single" w:sz="4" w:space="0" w:color="000000"/>
              <w:bottom w:val="single" w:sz="4" w:space="0" w:color="000000"/>
              <w:end w:val="single" w:sz="4" w:space="0" w:color="000000"/>
            </w:tcBorders>
            <w:vAlign w:val="center"/>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апреля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Накопление, систематизация, анализ практических материалов.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Разработка и представление на проверку остальных разделов</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22</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highlight w:val="yellow"/>
                <w:lang w:eastAsia="ru-RU"/>
              </w:rPr>
            </w:pPr>
            <w:r>
              <w:rPr>
                <w:rFonts w:ascii="Times New Roman" w:hAnsi="Times New Roman"/>
                <w:color w:val="000000"/>
                <w:sz w:val="24"/>
                <w:szCs w:val="24"/>
                <w:lang w:eastAsia="ru-RU"/>
              </w:rPr>
              <w:t>Согласование с руководителем выводов и приложений.</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28</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мая </w:t>
            </w:r>
            <w:r>
              <w:rPr>
                <w:rFonts w:ascii="Times New Roman" w:hAnsi="Times New Roman"/>
                <w:sz w:val="24"/>
                <w:szCs w:val="24"/>
                <w:lang w:eastAsia="ru-RU"/>
              </w:rPr>
              <w:t>20</w:t>
            </w:r>
            <w:r>
              <w:rPr>
                <w:rFonts w:ascii="Times New Roman" w:hAnsi="Times New Roman"/>
                <w:i/>
                <w:sz w:val="24"/>
                <w:szCs w:val="24"/>
                <w:u w:val="single"/>
                <w:lang w:eastAsia="ru-RU"/>
              </w:rPr>
              <w:t>25</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Переработка (доработка) ВКР в соответствии с замечаниями и представление ее на кафедру.</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03</w:t>
            </w:r>
            <w:r>
              <w:rPr>
                <w:rFonts w:ascii="Times New Roman" w:hAnsi="Times New Roman"/>
                <w:sz w:val="24"/>
                <w:szCs w:val="24"/>
                <w:lang w:eastAsia="ru-RU"/>
              </w:rPr>
              <w:t>»</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rHeight w:val="327" w:hRule="atLeast"/>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Разработка презентации доклада для защиты.</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19</w:t>
            </w:r>
            <w:r>
              <w:rPr>
                <w:rFonts w:ascii="Times New Roman" w:hAnsi="Times New Roman"/>
                <w:sz w:val="24"/>
                <w:szCs w:val="24"/>
                <w:lang w:eastAsia="ru-RU"/>
              </w:rPr>
              <w:t>»</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r>
        <w:trPr/>
        <w:tc>
          <w:tcPr>
            <w:tcW w:w="561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color w:val="000000"/>
                <w:sz w:val="24"/>
                <w:szCs w:val="24"/>
                <w:lang w:eastAsia="ru-RU"/>
              </w:rPr>
            </w:pPr>
            <w:r>
              <w:rPr>
                <w:rFonts w:ascii="Times New Roman" w:hAnsi="Times New Roman"/>
                <w:color w:val="000000"/>
                <w:sz w:val="24"/>
                <w:szCs w:val="24"/>
                <w:lang w:eastAsia="ru-RU"/>
              </w:rPr>
              <w:t>Завершение подготовки к защите с учетом отзыва руководителя</w:t>
            </w:r>
          </w:p>
        </w:tc>
        <w:tc>
          <w:tcPr>
            <w:tcW w:w="25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center"/>
              <w:rPr>
                <w:rFonts w:ascii="Times New Roman" w:hAnsi="Times New Roman"/>
                <w:sz w:val="24"/>
                <w:szCs w:val="24"/>
                <w:lang w:eastAsia="ru-RU"/>
              </w:rPr>
            </w:pPr>
            <w:r>
              <w:rPr>
                <w:rFonts w:ascii="Times New Roman" w:hAnsi="Times New Roman"/>
                <w:sz w:val="24"/>
                <w:szCs w:val="24"/>
                <w:lang w:eastAsia="ru-RU"/>
              </w:rPr>
              <w:t>до «</w:t>
            </w:r>
            <w:r>
              <w:rPr>
                <w:rFonts w:ascii="Times New Roman" w:hAnsi="Times New Roman"/>
                <w:i/>
                <w:sz w:val="24"/>
                <w:szCs w:val="24"/>
                <w:u w:val="single"/>
                <w:lang w:eastAsia="ru-RU"/>
              </w:rPr>
              <w:t>24</w:t>
            </w:r>
            <w:r>
              <w:rPr>
                <w:rFonts w:ascii="Times New Roman" w:hAnsi="Times New Roman"/>
                <w:sz w:val="24"/>
                <w:szCs w:val="24"/>
                <w:lang w:eastAsia="ru-RU"/>
              </w:rPr>
              <w:t xml:space="preserve">» </w:t>
            </w:r>
            <w:r>
              <w:rPr>
                <w:rFonts w:ascii="Times New Roman" w:hAnsi="Times New Roman"/>
                <w:i/>
                <w:sz w:val="24"/>
                <w:szCs w:val="24"/>
                <w:u w:val="single"/>
                <w:lang w:eastAsia="ru-RU"/>
              </w:rPr>
              <w:t xml:space="preserve">июня </w:t>
            </w:r>
            <w:r>
              <w:rPr>
                <w:rFonts w:ascii="Times New Roman" w:hAnsi="Times New Roman"/>
                <w:sz w:val="24"/>
                <w:szCs w:val="24"/>
                <w:lang w:eastAsia="ru-RU"/>
              </w:rPr>
              <w:t>20</w:t>
            </w:r>
            <w:r>
              <w:rPr>
                <w:rFonts w:ascii="Times New Roman" w:hAnsi="Times New Roman"/>
                <w:i/>
                <w:sz w:val="24"/>
                <w:szCs w:val="24"/>
                <w:u w:val="single"/>
                <w:lang w:eastAsia="ru-RU"/>
              </w:rPr>
              <w:t>26</w:t>
            </w:r>
          </w:p>
        </w:tc>
        <w:tc>
          <w:tcPr>
            <w:tcW w:w="1651"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ind w:hanging="0"/>
              <w:jc w:val="start"/>
              <w:rPr>
                <w:rFonts w:ascii="Times New Roman" w:hAnsi="Times New Roman"/>
                <w:sz w:val="24"/>
                <w:szCs w:val="24"/>
                <w:lang w:eastAsia="ru-RU"/>
              </w:rPr>
            </w:pPr>
            <w:r>
              <w:rPr>
                <w:rFonts w:ascii="Times New Roman" w:hAnsi="Times New Roman"/>
                <w:sz w:val="24"/>
                <w:szCs w:val="24"/>
                <w:lang w:eastAsia="ru-RU"/>
              </w:rPr>
            </w:r>
          </w:p>
        </w:tc>
      </w:tr>
    </w:tbl>
    <w:p>
      <w:pPr>
        <w:pStyle w:val="Normal"/>
        <w:suppressAutoHyphens w:val="false"/>
        <w:spacing w:lineRule="auto" w:line="259"/>
        <w:ind w:hanging="0"/>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59"/>
        <w:ind w:hanging="0"/>
        <w:jc w:val="start"/>
        <w:rPr>
          <w:rFonts w:ascii="Times New Roman" w:hAnsi="Times New Roman"/>
          <w:sz w:val="24"/>
          <w:szCs w:val="24"/>
          <w:lang w:eastAsia="ru-RU"/>
        </w:rPr>
      </w:pPr>
      <w:r>
        <w:rPr>
          <w:rFonts w:ascii="Times New Roman" w:hAnsi="Times New Roman"/>
          <w:sz w:val="24"/>
          <w:szCs w:val="24"/>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 xml:space="preserve">Студент </w:t>
        <w:tab/>
        <w:tab/>
        <w:tab/>
        <w:tab/>
        <w:t xml:space="preserve">_______________________ </w:t>
        <w:tab/>
        <w:t>Остапов</w:t>
      </w:r>
      <w:r>
        <w:rPr>
          <w:rFonts w:eastAsia="Calibri" w:ascii="Times New Roman" w:hAnsi="Times New Roman"/>
          <w:sz w:val="28"/>
          <w:szCs w:val="28"/>
          <w:lang w:eastAsia="en-US"/>
        </w:rPr>
        <w:t xml:space="preserve"> В.Р.</w:t>
      </w:r>
    </w:p>
    <w:p>
      <w:pPr>
        <w:pStyle w:val="Normal"/>
        <w:suppressAutoHyphens w:val="false"/>
        <w:spacing w:lineRule="auto" w:line="259"/>
        <w:ind w:firstLine="3402"/>
        <w:jc w:val="start"/>
        <w:rPr>
          <w:rFonts w:ascii="Times New Roman" w:hAnsi="Times New Roman"/>
          <w:i/>
          <w:i/>
          <w:iCs/>
          <w:sz w:val="28"/>
          <w:szCs w:val="28"/>
          <w:vertAlign w:val="superscript"/>
          <w:lang w:eastAsia="ru-RU"/>
        </w:rPr>
      </w:pPr>
      <w:r>
        <w:rPr>
          <w:rFonts w:ascii="Times New Roman" w:hAnsi="Times New Roman"/>
          <w:i/>
          <w:iCs/>
          <w:sz w:val="28"/>
          <w:szCs w:val="28"/>
          <w:vertAlign w:val="superscript"/>
          <w:lang w:eastAsia="ru-RU"/>
        </w:rPr>
      </w:r>
    </w:p>
    <w:p>
      <w:p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t xml:space="preserve">Научный руководитель ВКР </w:t>
        <w:tab/>
        <w:t xml:space="preserve">_______________________ </w:t>
        <w:tab/>
        <w:t>Донцов В.М.</w:t>
      </w:r>
    </w:p>
    <w:p>
      <w:pPr>
        <w:sectPr>
          <w:headerReference w:type="default" r:id="rId7"/>
          <w:headerReference w:type="first" r:id="rId8"/>
          <w:type w:val="nextPage"/>
          <w:pgSz w:w="11906" w:h="16838"/>
          <w:pgMar w:left="1418" w:right="567" w:gutter="0" w:header="708" w:top="1134" w:footer="0" w:bottom="1134"/>
          <w:pgNumType w:fmt="decimal"/>
          <w:formProt w:val="false"/>
          <w:titlePg/>
          <w:textDirection w:val="lrTb"/>
          <w:docGrid w:type="default" w:linePitch="360" w:charSpace="0"/>
        </w:sectPr>
        <w:pStyle w:val="Normal"/>
        <w:suppressAutoHyphens w:val="false"/>
        <w:spacing w:lineRule="auto" w:line="259"/>
        <w:ind w:hanging="0"/>
        <w:jc w:val="start"/>
        <w:rPr>
          <w:rFonts w:ascii="Times New Roman" w:hAnsi="Times New Roman"/>
          <w:sz w:val="28"/>
          <w:szCs w:val="28"/>
          <w:lang w:eastAsia="ru-RU"/>
        </w:rPr>
      </w:pPr>
      <w:r>
        <w:rPr>
          <w:rFonts w:ascii="Times New Roman" w:hAnsi="Times New Roman"/>
          <w:sz w:val="28"/>
          <w:szCs w:val="28"/>
          <w:lang w:eastAsia="ru-RU"/>
        </w:rPr>
      </w:r>
    </w:p>
    <w:p>
      <w:pPr>
        <w:pStyle w:val="Normal"/>
        <w:suppressAutoHyphens w:val="false"/>
        <w:ind w:hanging="0"/>
        <w:jc w:val="center"/>
        <w:rPr>
          <w:rFonts w:ascii="Times New Roman" w:hAnsi="Times New Roman" w:eastAsia="Calibri"/>
          <w:sz w:val="28"/>
          <w:szCs w:val="28"/>
          <w:lang w:eastAsia="en-US"/>
        </w:rPr>
      </w:pPr>
      <w:r>
        <mc:AlternateContent>
          <mc:Choice Requires="wps">
            <w:drawing>
              <wp:anchor behindDoc="0" distT="0" distB="0" distL="114300" distR="114300" simplePos="0" locked="0" layoutInCell="1" allowOverlap="1" relativeHeight="10">
                <wp:simplePos x="0" y="0"/>
                <wp:positionH relativeFrom="column">
                  <wp:posOffset>2839085</wp:posOffset>
                </wp:positionH>
                <wp:positionV relativeFrom="paragraph">
                  <wp:posOffset>-418465</wp:posOffset>
                </wp:positionV>
                <wp:extent cx="666750" cy="295275"/>
                <wp:effectExtent l="635" t="635" r="635" b="635"/>
                <wp:wrapNone/>
                <wp:docPr id="3" name="Прямоугольник 14"/>
                <a:graphic xmlns:a="http://schemas.openxmlformats.org/drawingml/2006/main">
                  <a:graphicData uri="http://schemas.microsoft.com/office/word/2010/wordprocessingShape">
                    <wps:wsp>
                      <wps:cNvSpPr/>
                      <wps:nvSpPr>
                        <wps:cNvPr id="4" name="Прямоугольник 14"/>
                        <wps:cNvSpPr/>
                      </wps:nvSpPr>
                      <wps:spPr>
                        <a:xfrm>
                          <a:off x="0" y="0"/>
                          <a:ext cx="666720" cy="295200"/>
                        </a:xfrm>
                        <a:prstGeom prst="rect">
                          <a:avLst/>
                        </a:prstGeom>
                        <a:solidFill>
                          <a:srgbClr val="ffffff"/>
                        </a:solidFill>
                        <a:ln w="0">
                          <a:solidFill>
                            <a:srgbClr val="ffffff"/>
                          </a:solidFill>
                        </a:ln>
                      </wps:spPr>
                      <wps:bodyPr/>
                    </wps:wsp>
                  </a:graphicData>
                </a:graphic>
              </wp:anchor>
            </w:drawing>
          </mc:Choice>
          <mc:Fallback>
            <w:pict>
              <v:rect id="shape_0" ID="Прямоугольник 14" fillcolor="white" stroked="t" o:allowincell="f" style="position:absolute;margin-left:223.55pt;margin-top:-32.95pt;width:52.45pt;height:23.2pt;mso-wrap-style:none;v-text-anchor:middle">
                <v:fill o:detectmouseclick="t" type="solid" color2="black"/>
                <v:stroke color="white" joinstyle="round" endcap="flat"/>
                <w10:wrap type="none"/>
              </v:rect>
            </w:pict>
          </mc:Fallback>
        </mc:AlternateContent>
      </w:r>
      <w:r>
        <w:rPr>
          <w:rFonts w:eastAsia="Calibri" w:ascii="Times New Roman" w:hAnsi="Times New Roman"/>
          <w:b/>
          <w:bCs/>
          <w:sz w:val="28"/>
          <w:szCs w:val="28"/>
          <w:lang w:eastAsia="en-US"/>
        </w:rPr>
        <w:t>АННОТАЦИЯ</w:t>
      </w:r>
    </w:p>
    <w:p>
      <w:pPr>
        <w:pStyle w:val="Normal"/>
        <w:suppressAutoHyphens w:val="false"/>
        <w:ind w:hanging="0"/>
        <w:jc w:val="center"/>
        <w:rPr>
          <w:rFonts w:ascii="Times New Roman" w:hAnsi="Times New Roman" w:eastAsia="Calibri"/>
          <w:sz w:val="28"/>
          <w:szCs w:val="28"/>
          <w:lang w:eastAsia="en-US"/>
        </w:rPr>
      </w:pPr>
      <w:r>
        <w:rPr>
          <w:rFonts w:eastAsia="Calibri" w:ascii="Times New Roman" w:hAnsi="Times New Roman"/>
          <w:sz w:val="28"/>
          <w:szCs w:val="28"/>
          <w:lang w:eastAsia="en-US"/>
        </w:rPr>
      </w:r>
    </w:p>
    <w:p>
      <w:pPr>
        <w:pStyle w:val="Normal"/>
        <w:suppressAutoHyphens w:val="false"/>
        <w:rPr>
          <w:rFonts w:ascii="Times New Roman" w:hAnsi="Times New Roman" w:eastAsia="Calibri"/>
          <w:sz w:val="28"/>
          <w:szCs w:val="28"/>
          <w:lang w:eastAsia="en-US"/>
        </w:rPr>
      </w:pPr>
      <w:r>
        <w:rPr>
          <w:rFonts w:eastAsia="Calibri" w:ascii="Times New Roman" w:hAnsi="Times New Roman"/>
          <w:sz w:val="28"/>
          <w:szCs w:val="28"/>
          <w:lang w:eastAsia="en-US"/>
        </w:rPr>
        <w:t>Тема выпускной квалификационной работы: Устройство определения параметров периодических сигналов в условиях помех</w:t>
      </w:r>
    </w:p>
    <w:p>
      <w:pPr>
        <w:pStyle w:val="Normal"/>
        <w:suppressAutoHyphens w:val="false"/>
        <w:rPr>
          <w:rFonts w:ascii="Times New Roman" w:hAnsi="Times New Roman" w:eastAsia="Calibri"/>
          <w:sz w:val="28"/>
          <w:szCs w:val="28"/>
          <w:lang w:eastAsia="en-US"/>
        </w:rPr>
      </w:pPr>
      <w:r>
        <w:rPr>
          <w:rFonts w:eastAsia="Calibri" w:ascii="Times New Roman" w:hAnsi="Times New Roman"/>
          <w:sz w:val="28"/>
          <w:szCs w:val="28"/>
          <w:lang w:eastAsia="en-US"/>
        </w:rPr>
        <w:t xml:space="preserve">Год защиты: </w:t>
      </w:r>
      <w:r>
        <w:rPr>
          <w:rFonts w:eastAsia="Calibri" w:ascii="Times New Roman" w:hAnsi="Times New Roman"/>
          <w:sz w:val="28"/>
          <w:szCs w:val="28"/>
          <w:shd w:fill="auto" w:val="clear"/>
          <w:lang w:eastAsia="en-US"/>
        </w:rPr>
        <w:t>2026</w:t>
      </w:r>
    </w:p>
    <w:p>
      <w:pPr>
        <w:pStyle w:val="Normal"/>
        <w:suppressAutoHyphens w:val="false"/>
        <w:rPr>
          <w:rFonts w:ascii="Times New Roman" w:hAnsi="Times New Roman" w:eastAsia="Calibri"/>
          <w:sz w:val="28"/>
          <w:szCs w:val="28"/>
          <w:lang w:eastAsia="en-US"/>
        </w:rPr>
      </w:pPr>
      <w:r>
        <w:rPr>
          <w:rFonts w:eastAsia="Calibri" w:ascii="Times New Roman" w:hAnsi="Times New Roman"/>
          <w:sz w:val="28"/>
          <w:szCs w:val="28"/>
          <w:lang w:eastAsia="en-US"/>
        </w:rPr>
        <w:t>ВКР выполнил студе</w:t>
      </w:r>
      <w:r>
        <w:rPr>
          <w:rFonts w:eastAsia="Calibri" w:ascii="Times New Roman" w:hAnsi="Times New Roman"/>
          <w:sz w:val="28"/>
          <w:szCs w:val="28"/>
          <w:shd w:fill="auto" w:val="clear"/>
          <w:lang w:eastAsia="en-US"/>
        </w:rPr>
        <w:t xml:space="preserve">нт: </w:t>
      </w:r>
      <w:r>
        <w:rPr>
          <w:rFonts w:eastAsia="Calibri" w:ascii="Times New Roman" w:hAnsi="Times New Roman"/>
          <w:sz w:val="28"/>
          <w:szCs w:val="28"/>
          <w:shd w:fill="auto" w:val="clear"/>
          <w:lang w:eastAsia="ru-RU"/>
        </w:rPr>
        <w:t>Остапов</w:t>
      </w:r>
      <w:r>
        <w:rPr>
          <w:rFonts w:eastAsia="Calibri" w:ascii="Times New Roman" w:hAnsi="Times New Roman"/>
          <w:sz w:val="28"/>
          <w:szCs w:val="28"/>
          <w:shd w:fill="auto" w:val="clear"/>
          <w:lang w:eastAsia="en-US"/>
        </w:rPr>
        <w:t xml:space="preserve"> В.Р.</w:t>
      </w:r>
    </w:p>
    <w:p>
      <w:pPr>
        <w:pStyle w:val="Normal"/>
        <w:suppressAutoHyphens w:val="false"/>
        <w:spacing w:before="0" w:after="240"/>
        <w:rPr>
          <w:highlight w:val="none"/>
          <w:shd w:fill="auto" w:val="clear"/>
        </w:rPr>
      </w:pPr>
      <w:r>
        <w:rPr>
          <w:rFonts w:eastAsia="Calibri" w:ascii="Times New Roman" w:hAnsi="Times New Roman"/>
          <w:sz w:val="28"/>
          <w:szCs w:val="28"/>
          <w:shd w:fill="auto" w:val="clear"/>
          <w:lang w:eastAsia="en-US"/>
        </w:rPr>
        <w:t>Научный руководитель ВКР: Донцов В.М.</w:t>
      </w:r>
    </w:p>
    <w:p>
      <w:pPr>
        <w:pStyle w:val="Normal"/>
        <w:suppressAutoHyphens w:val="false"/>
        <w:rPr>
          <w:rFonts w:ascii="Times New Roman" w:hAnsi="Times New Roman" w:eastAsia="Calibri"/>
          <w:sz w:val="28"/>
          <w:szCs w:val="28"/>
          <w:lang w:eastAsia="en-US"/>
        </w:rPr>
      </w:pPr>
      <w:r>
        <w:rPr>
          <w:rFonts w:eastAsia="Calibri" w:ascii="Times New Roman" w:hAnsi="Times New Roman"/>
          <w:sz w:val="28"/>
          <w:szCs w:val="28"/>
          <w:lang w:eastAsia="en-US"/>
        </w:rPr>
        <w:t xml:space="preserve">ВКР выполнена на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 xml:space="preserve"> страницах, включает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 xml:space="preserve"> рисунков,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 xml:space="preserve"> таблиц,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 xml:space="preserve"> приложения,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 xml:space="preserve"> используемых источника. Работа включает 3 раздела.</w:t>
      </w:r>
    </w:p>
    <w:p>
      <w:pPr>
        <w:pStyle w:val="Normal"/>
        <w:suppressAutoHyphens w:val="false"/>
        <w:rPr>
          <w:rFonts w:ascii="Times New Roman" w:hAnsi="Times New Roman" w:eastAsia="Calibri"/>
          <w:sz w:val="28"/>
          <w:szCs w:val="28"/>
          <w:lang w:eastAsia="en-US"/>
        </w:rPr>
      </w:pPr>
      <w:r>
        <w:rPr>
          <w:rFonts w:eastAsia="Calibri" w:ascii="Times New Roman" w:hAnsi="Times New Roman"/>
          <w:sz w:val="28"/>
          <w:szCs w:val="28"/>
          <w:lang w:eastAsia="en-US"/>
        </w:rPr>
        <w:t xml:space="preserve">Аналитический раздел содержит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w:t>
      </w:r>
    </w:p>
    <w:p>
      <w:pPr>
        <w:pStyle w:val="Normal"/>
        <w:suppressAutoHyphens w:val="false"/>
        <w:rPr>
          <w:rFonts w:ascii="Times New Roman" w:hAnsi="Times New Roman" w:eastAsia="Calibri"/>
          <w:sz w:val="28"/>
          <w:szCs w:val="28"/>
          <w:lang w:eastAsia="en-US"/>
        </w:rPr>
      </w:pPr>
      <w:r>
        <w:rPr>
          <w:rFonts w:eastAsia="Calibri" w:ascii="Times New Roman" w:hAnsi="Times New Roman"/>
          <w:sz w:val="28"/>
          <w:szCs w:val="28"/>
          <w:lang w:eastAsia="en-US"/>
        </w:rPr>
        <w:t xml:space="preserve">Исследовательский раздел включает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w:t>
      </w:r>
    </w:p>
    <w:p>
      <w:pPr>
        <w:pStyle w:val="Normal"/>
        <w:suppressAutoHyphens w:val="false"/>
        <w:rPr>
          <w:rFonts w:ascii="Times New Roman" w:hAnsi="Times New Roman" w:eastAsia="Calibri"/>
          <w:sz w:val="28"/>
          <w:szCs w:val="28"/>
          <w:lang w:eastAsia="en-US"/>
        </w:rPr>
      </w:pPr>
      <w:r>
        <w:rPr>
          <w:rFonts w:eastAsia="Calibri" w:ascii="Times New Roman" w:hAnsi="Times New Roman"/>
          <w:sz w:val="28"/>
          <w:szCs w:val="28"/>
          <w:lang w:eastAsia="en-US"/>
        </w:rPr>
        <w:t xml:space="preserve">Практический раздел состоит из </w:t>
      </w:r>
      <w:r>
        <w:rPr>
          <w:rFonts w:eastAsia="Calibri" w:ascii="Times New Roman" w:hAnsi="Times New Roman"/>
          <w:sz w:val="28"/>
          <w:szCs w:val="28"/>
          <w:highlight w:val="yellow"/>
          <w:lang w:eastAsia="en-US"/>
        </w:rPr>
        <w:t>???</w:t>
      </w:r>
      <w:r>
        <w:rPr>
          <w:rFonts w:eastAsia="Calibri" w:ascii="Times New Roman" w:hAnsi="Times New Roman"/>
          <w:sz w:val="28"/>
          <w:szCs w:val="28"/>
          <w:lang w:eastAsia="en-US"/>
        </w:rPr>
        <w:t>.</w:t>
      </w:r>
    </w:p>
    <w:p>
      <w:pPr>
        <w:pStyle w:val="Normal"/>
        <w:suppressAutoHyphens w:val="false"/>
        <w:rPr>
          <w:rFonts w:ascii="Times New Roman" w:hAnsi="Times New Roman" w:eastAsia="Calibri"/>
          <w:sz w:val="28"/>
          <w:szCs w:val="28"/>
          <w:lang w:val="en-US" w:eastAsia="en-US"/>
        </w:rPr>
      </w:pPr>
      <w:r>
        <w:rPr>
          <w:rFonts w:eastAsia="Calibri" w:ascii="Times New Roman" w:hAnsi="Times New Roman"/>
          <w:sz w:val="28"/>
          <w:szCs w:val="28"/>
          <w:lang w:eastAsia="en-US"/>
        </w:rPr>
        <w:t>Ключевые</w:t>
      </w:r>
      <w:r>
        <w:rPr>
          <w:rFonts w:eastAsia="Calibri" w:ascii="Times New Roman" w:hAnsi="Times New Roman"/>
          <w:sz w:val="28"/>
          <w:szCs w:val="28"/>
          <w:lang w:val="en-US" w:eastAsia="en-US"/>
        </w:rPr>
        <w:t xml:space="preserve"> </w:t>
      </w:r>
      <w:r>
        <w:rPr>
          <w:rFonts w:eastAsia="Calibri" w:ascii="Times New Roman" w:hAnsi="Times New Roman"/>
          <w:sz w:val="28"/>
          <w:szCs w:val="28"/>
          <w:lang w:eastAsia="en-US"/>
        </w:rPr>
        <w:t>слова</w:t>
      </w:r>
      <w:r>
        <w:rPr>
          <w:rFonts w:eastAsia="Calibri" w:ascii="Times New Roman" w:hAnsi="Times New Roman"/>
          <w:sz w:val="28"/>
          <w:szCs w:val="28"/>
          <w:lang w:val="en-US" w:eastAsia="en-US"/>
        </w:rPr>
        <w:t xml:space="preserve">: </w:t>
      </w:r>
      <w:r>
        <w:rPr>
          <w:rFonts w:eastAsia="Calibri" w:ascii="Times New Roman" w:hAnsi="Times New Roman"/>
          <w:sz w:val="28"/>
          <w:szCs w:val="28"/>
          <w:highlight w:val="yellow"/>
          <w:lang w:val="en-US" w:eastAsia="en-US"/>
        </w:rPr>
        <w:t>???</w:t>
      </w:r>
      <w:r>
        <w:rPr>
          <w:rFonts w:eastAsia="Calibri" w:ascii="Times New Roman" w:hAnsi="Times New Roman"/>
          <w:sz w:val="28"/>
          <w:szCs w:val="28"/>
          <w:lang w:val="en-US" w:eastAsia="en-US"/>
        </w:rPr>
        <mc:AlternateContent>
          <mc:Choice Requires="wpg">
            <w:drawing>
              <wp:anchor behindDoc="1" distT="0" distB="0" distL="114300" distR="114300" simplePos="0" locked="0" layoutInCell="0" allowOverlap="1" relativeHeight="4">
                <wp:simplePos x="0" y="0"/>
                <wp:positionH relativeFrom="page">
                  <wp:posOffset>642620</wp:posOffset>
                </wp:positionH>
                <wp:positionV relativeFrom="page">
                  <wp:posOffset>296545</wp:posOffset>
                </wp:positionV>
                <wp:extent cx="6588760" cy="9996805"/>
                <wp:effectExtent l="12700" t="12700" r="12700" b="12700"/>
                <wp:wrapNone/>
                <wp:docPr id="5" name="Группа 13"/>
                <a:graphic xmlns:a="http://schemas.openxmlformats.org/drawingml/2006/main">
                  <a:graphicData uri="http://schemas.microsoft.com/office/word/2010/wordprocessingGroup">
                    <wpg:wgp>
                      <wpg:cNvGrpSpPr/>
                      <wpg:grpSpPr>
                        <a:xfrm>
                          <a:off x="0" y="0"/>
                          <a:ext cx="6588720" cy="9996840"/>
                          <a:chOff x="0" y="0"/>
                          <a:chExt cx="6588720" cy="9996840"/>
                        </a:xfrm>
                      </wpg:grpSpPr>
                      <wps:wsp>
                        <wps:cNvSpPr/>
                        <wps:nvSpPr>
                          <wps:cNvPr id="6" name="Rectangle 3"/>
                          <wps:cNvSpPr/>
                        </wps:nvSpPr>
                        <wps:spPr>
                          <a:xfrm>
                            <a:off x="0" y="0"/>
                            <a:ext cx="6588720" cy="9996840"/>
                          </a:xfrm>
                          <a:prstGeom prst="rect">
                            <a:avLst/>
                          </a:prstGeom>
                          <a:noFill/>
                          <a:ln w="25560">
                            <a:solidFill>
                              <a:srgbClr val="000000"/>
                            </a:solidFill>
                            <a:round/>
                          </a:ln>
                        </wps:spPr>
                        <wps:bodyPr/>
                      </wps:wsp>
                      <wps:wsp>
                        <wps:cNvSpPr/>
                        <wps:spPr>
                          <a:xfrm>
                            <a:off x="326880" y="8588880"/>
                            <a:ext cx="720" cy="518760"/>
                          </a:xfrm>
                          <a:prstGeom prst="line">
                            <a:avLst/>
                          </a:prstGeom>
                          <a:ln w="25560">
                            <a:solidFill>
                              <a:srgbClr val="000000"/>
                            </a:solidFill>
                            <a:round/>
                          </a:ln>
                        </wps:spPr>
                        <wps:style>
                          <a:lnRef idx="0"/>
                          <a:fillRef idx="0"/>
                          <a:effectRef idx="0"/>
                          <a:fontRef idx="minor"/>
                        </wps:style>
                        <wps:bodyPr/>
                      </wps:wsp>
                      <wps:wsp>
                        <wps:cNvSpPr/>
                        <wps:spPr>
                          <a:xfrm>
                            <a:off x="3240" y="8583840"/>
                            <a:ext cx="6577920" cy="720"/>
                          </a:xfrm>
                          <a:prstGeom prst="line">
                            <a:avLst/>
                          </a:prstGeom>
                          <a:ln w="25560">
                            <a:solidFill>
                              <a:srgbClr val="000000"/>
                            </a:solidFill>
                            <a:round/>
                          </a:ln>
                        </wps:spPr>
                        <wps:style>
                          <a:lnRef idx="0"/>
                          <a:fillRef idx="0"/>
                          <a:effectRef idx="0"/>
                          <a:fontRef idx="minor"/>
                        </wps:style>
                        <wps:bodyPr/>
                      </wps:wsp>
                      <wps:wsp>
                        <wps:cNvSpPr/>
                        <wps:spPr>
                          <a:xfrm>
                            <a:off x="720000" y="8593560"/>
                            <a:ext cx="720" cy="1397520"/>
                          </a:xfrm>
                          <a:prstGeom prst="line">
                            <a:avLst/>
                          </a:prstGeom>
                          <a:ln w="25560">
                            <a:solidFill>
                              <a:srgbClr val="000000"/>
                            </a:solidFill>
                            <a:round/>
                          </a:ln>
                        </wps:spPr>
                        <wps:style>
                          <a:lnRef idx="0"/>
                          <a:fillRef idx="0"/>
                          <a:effectRef idx="0"/>
                          <a:fontRef idx="minor"/>
                        </wps:style>
                        <wps:bodyPr/>
                      </wps:wsp>
                      <wps:wsp>
                        <wps:cNvSpPr/>
                        <wps:spPr>
                          <a:xfrm>
                            <a:off x="1620360" y="8593560"/>
                            <a:ext cx="720" cy="1397520"/>
                          </a:xfrm>
                          <a:prstGeom prst="line">
                            <a:avLst/>
                          </a:prstGeom>
                          <a:ln w="25560">
                            <a:solidFill>
                              <a:srgbClr val="000000"/>
                            </a:solidFill>
                            <a:round/>
                          </a:ln>
                        </wps:spPr>
                        <wps:style>
                          <a:lnRef idx="0"/>
                          <a:fillRef idx="0"/>
                          <a:effectRef idx="0"/>
                          <a:fontRef idx="minor"/>
                        </wps:style>
                        <wps:bodyPr/>
                      </wps:wsp>
                      <wps:wsp>
                        <wps:cNvSpPr/>
                        <wps:spPr>
                          <a:xfrm>
                            <a:off x="2160360" y="8593560"/>
                            <a:ext cx="720" cy="1397520"/>
                          </a:xfrm>
                          <a:prstGeom prst="line">
                            <a:avLst/>
                          </a:prstGeom>
                          <a:ln w="25560">
                            <a:solidFill>
                              <a:srgbClr val="000000"/>
                            </a:solidFill>
                            <a:round/>
                          </a:ln>
                        </wps:spPr>
                        <wps:style>
                          <a:lnRef idx="0"/>
                          <a:fillRef idx="0"/>
                          <a:effectRef idx="0"/>
                          <a:fontRef idx="minor"/>
                        </wps:style>
                        <wps:bodyPr/>
                      </wps:wsp>
                      <wps:wsp>
                        <wps:cNvSpPr/>
                        <wps:spPr>
                          <a:xfrm>
                            <a:off x="2520360" y="8588880"/>
                            <a:ext cx="720" cy="1397520"/>
                          </a:xfrm>
                          <a:prstGeom prst="line">
                            <a:avLst/>
                          </a:prstGeom>
                          <a:ln w="25560">
                            <a:solidFill>
                              <a:srgbClr val="000000"/>
                            </a:solidFill>
                            <a:round/>
                          </a:ln>
                        </wps:spPr>
                        <wps:style>
                          <a:lnRef idx="0"/>
                          <a:fillRef idx="0"/>
                          <a:effectRef idx="0"/>
                          <a:fontRef idx="minor"/>
                        </wps:style>
                        <wps:bodyPr/>
                      </wps:wsp>
                      <wps:wsp>
                        <wps:cNvSpPr/>
                        <wps:spPr>
                          <a:xfrm>
                            <a:off x="5221080" y="9116640"/>
                            <a:ext cx="1440" cy="345960"/>
                          </a:xfrm>
                          <a:prstGeom prst="line">
                            <a:avLst/>
                          </a:prstGeom>
                          <a:ln w="25560">
                            <a:solidFill>
                              <a:srgbClr val="000000"/>
                            </a:solidFill>
                            <a:round/>
                          </a:ln>
                        </wps:spPr>
                        <wps:style>
                          <a:lnRef idx="0"/>
                          <a:fillRef idx="0"/>
                          <a:effectRef idx="0"/>
                          <a:fontRef idx="minor"/>
                        </wps:style>
                        <wps:bodyPr/>
                      </wps:wsp>
                      <wps:wsp>
                        <wps:cNvSpPr/>
                        <wps:spPr>
                          <a:xfrm>
                            <a:off x="3240" y="9642960"/>
                            <a:ext cx="2510640" cy="1440"/>
                          </a:xfrm>
                          <a:prstGeom prst="line">
                            <a:avLst/>
                          </a:prstGeom>
                          <a:ln w="12600">
                            <a:solidFill>
                              <a:srgbClr val="000000"/>
                            </a:solidFill>
                            <a:round/>
                          </a:ln>
                        </wps:spPr>
                        <wps:style>
                          <a:lnRef idx="0"/>
                          <a:fillRef idx="0"/>
                          <a:effectRef idx="0"/>
                          <a:fontRef idx="minor"/>
                        </wps:style>
                        <wps:bodyPr/>
                      </wps:wsp>
                      <wps:wsp>
                        <wps:cNvSpPr/>
                        <wps:spPr>
                          <a:xfrm>
                            <a:off x="3240" y="9819720"/>
                            <a:ext cx="2510640" cy="720"/>
                          </a:xfrm>
                          <a:prstGeom prst="line">
                            <a:avLst/>
                          </a:prstGeom>
                          <a:ln w="12600">
                            <a:solidFill>
                              <a:srgbClr val="000000"/>
                            </a:solidFill>
                            <a:round/>
                          </a:ln>
                        </wps:spPr>
                        <wps:style>
                          <a:lnRef idx="0"/>
                          <a:fillRef idx="0"/>
                          <a:effectRef idx="0"/>
                          <a:fontRef idx="minor"/>
                        </wps:style>
                        <wps:bodyPr/>
                      </wps:wsp>
                      <wps:wsp>
                        <wps:cNvSpPr txBox="1"/>
                        <wps:spPr>
                          <a:xfrm>
                            <a:off x="17640" y="8953560"/>
                            <a:ext cx="290880" cy="154440"/>
                          </a:xfrm>
                          <a:prstGeom prst="rect">
                            <a:avLst/>
                          </a:prstGeom>
                          <a:noFill/>
                          <a:ln w="0">
                            <a:noFill/>
                          </a:ln>
                        </wps:spPr>
                        <wps:bodyPr/>
                      </wps:wsp>
                      <wps:wsp>
                        <wps:cNvSpPr txBox="1"/>
                        <wps:spPr>
                          <a:xfrm>
                            <a:off x="345960" y="8953560"/>
                            <a:ext cx="362520" cy="154440"/>
                          </a:xfrm>
                          <a:prstGeom prst="rect">
                            <a:avLst/>
                          </a:prstGeom>
                          <a:noFill/>
                          <a:ln w="0">
                            <a:noFill/>
                          </a:ln>
                        </wps:spPr>
                        <wps:bodyPr/>
                      </wps:wsp>
                      <wps:wsp>
                        <wps:cNvSpPr txBox="1"/>
                        <wps:spPr>
                          <a:xfrm>
                            <a:off x="746640" y="8953560"/>
                            <a:ext cx="847800" cy="15444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Ф.И.О.</w:t>
                              </w:r>
                            </w:p>
                          </w:txbxContent>
                        </wps:txbx>
                        <wps:bodyPr wrap="square" lIns="12600" rIns="12600" tIns="12600" bIns="12600" anchor="t">
                          <a:noAutofit/>
                        </wps:bodyPr>
                      </wps:wsp>
                      <wps:wsp>
                        <wps:cNvSpPr txBox="1"/>
                        <wps:spPr>
                          <a:xfrm>
                            <a:off x="1641600" y="8953560"/>
                            <a:ext cx="505440" cy="15444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Подпись</w:t>
                              </w:r>
                            </w:p>
                          </w:txbxContent>
                        </wps:txbx>
                        <wps:bodyPr wrap="square" lIns="12600" rIns="12600" tIns="12600" bIns="12600" anchor="t">
                          <a:noAutofit/>
                        </wps:bodyPr>
                      </wps:wsp>
                      <wps:wsp>
                        <wps:cNvSpPr txBox="1"/>
                        <wps:spPr>
                          <a:xfrm>
                            <a:off x="2175480" y="8953560"/>
                            <a:ext cx="329400" cy="15444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Дата</w:t>
                              </w:r>
                            </w:p>
                          </w:txbxContent>
                        </wps:txbx>
                        <wps:bodyPr wrap="square" lIns="12600" rIns="12600" tIns="12600" bIns="12600" anchor="t">
                          <a:noAutofit/>
                        </wps:bodyPr>
                      </wps:wsp>
                      <wps:wsp>
                        <wps:cNvSpPr txBox="1"/>
                        <wps:spPr>
                          <a:xfrm>
                            <a:off x="5247720" y="9126360"/>
                            <a:ext cx="485640" cy="15444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Лист</w:t>
                              </w:r>
                            </w:p>
                          </w:txbxContent>
                        </wps:txbx>
                        <wps:bodyPr wrap="square" lIns="12600" rIns="12600" tIns="12600" bIns="12600" anchor="t">
                          <a:noAutofit/>
                        </wps:bodyPr>
                      </wps:wsp>
                      <wps:wsp>
                        <wps:cNvSpPr txBox="1"/>
                        <wps:spPr>
                          <a:xfrm>
                            <a:off x="5247720" y="9308520"/>
                            <a:ext cx="485640" cy="15480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3</w:t>
                              </w:r>
                            </w:p>
                          </w:txbxContent>
                        </wps:txbx>
                        <wps:bodyPr wrap="square" lIns="12600" rIns="12600" tIns="12600" bIns="12600" anchor="t">
                          <a:noAutofit/>
                        </wps:bodyPr>
                      </wps:wsp>
                      <wps:wsp>
                        <wps:cNvSpPr txBox="1"/>
                        <wps:spPr>
                          <a:xfrm>
                            <a:off x="2556360" y="8737560"/>
                            <a:ext cx="4005720" cy="237960"/>
                          </a:xfrm>
                          <a:prstGeom prst="rect">
                            <a:avLst/>
                          </a:prstGeom>
                          <a:noFill/>
                          <a:ln w="0">
                            <a:noFill/>
                          </a:ln>
                        </wps:spPr>
                        <wps:txbx>
                          <w:txbxContent>
                            <w:p>
                              <w:pPr>
                                <w:overflowPunct w:val="false"/>
                                <w:spacing w:lineRule="auto" w:line="240"/>
                                <w:jc w:val="center"/>
                                <w:rPr/>
                              </w:pPr>
                              <w:r>
                                <w:rPr>
                                  <w:sz w:val="22"/>
                                  <w:szCs w:val="20"/>
                                  <w:rFonts w:ascii="Arial" w:hAnsi="Arial" w:eastAsia="" w:cs="Arial"/>
                                  <w:lang w:eastAsia="ru-RU"/>
                                </w:rPr>
                                <w:t>ВКР.11.04.03.245115.2026.01 ПЗ</w:t>
                              </w:r>
                            </w:p>
                          </w:txbxContent>
                        </wps:txbx>
                        <wps:bodyPr wrap="square" lIns="12600" rIns="12600" tIns="12600" bIns="12600" anchor="t">
                          <a:noAutofit/>
                        </wps:bodyPr>
                      </wps:wsp>
                      <wps:wsp>
                        <wps:cNvSpPr/>
                        <wps:spPr>
                          <a:xfrm>
                            <a:off x="3960" y="9114120"/>
                            <a:ext cx="6577920" cy="720"/>
                          </a:xfrm>
                          <a:prstGeom prst="line">
                            <a:avLst/>
                          </a:prstGeom>
                          <a:ln w="25560">
                            <a:solidFill>
                              <a:srgbClr val="000000"/>
                            </a:solidFill>
                            <a:round/>
                          </a:ln>
                        </wps:spPr>
                        <wps:style>
                          <a:lnRef idx="0"/>
                          <a:fillRef idx="0"/>
                          <a:effectRef idx="0"/>
                          <a:fontRef idx="minor"/>
                        </wps:style>
                        <wps:bodyPr/>
                      </wps:wsp>
                      <wps:wsp>
                        <wps:cNvSpPr/>
                        <wps:spPr>
                          <a:xfrm>
                            <a:off x="8280" y="8937720"/>
                            <a:ext cx="2510640" cy="720"/>
                          </a:xfrm>
                          <a:prstGeom prst="line">
                            <a:avLst/>
                          </a:prstGeom>
                          <a:ln w="25560">
                            <a:solidFill>
                              <a:srgbClr val="000000"/>
                            </a:solidFill>
                            <a:round/>
                          </a:ln>
                        </wps:spPr>
                        <wps:style>
                          <a:lnRef idx="0"/>
                          <a:fillRef idx="0"/>
                          <a:effectRef idx="0"/>
                          <a:fontRef idx="minor"/>
                        </wps:style>
                        <wps:bodyPr/>
                      </wps:wsp>
                      <wps:wsp>
                        <wps:cNvSpPr/>
                        <wps:spPr>
                          <a:xfrm>
                            <a:off x="3240" y="8760600"/>
                            <a:ext cx="2510640" cy="720"/>
                          </a:xfrm>
                          <a:prstGeom prst="line">
                            <a:avLst/>
                          </a:prstGeom>
                          <a:ln w="12600">
                            <a:solidFill>
                              <a:srgbClr val="000000"/>
                            </a:solidFill>
                            <a:round/>
                          </a:ln>
                        </wps:spPr>
                        <wps:style>
                          <a:lnRef idx="0"/>
                          <a:fillRef idx="0"/>
                          <a:effectRef idx="0"/>
                          <a:fontRef idx="minor"/>
                        </wps:style>
                        <wps:bodyPr/>
                      </wps:wsp>
                      <wps:wsp>
                        <wps:cNvSpPr/>
                        <wps:spPr>
                          <a:xfrm>
                            <a:off x="3240" y="9465840"/>
                            <a:ext cx="2510640" cy="720"/>
                          </a:xfrm>
                          <a:prstGeom prst="line">
                            <a:avLst/>
                          </a:prstGeom>
                          <a:ln w="12600">
                            <a:solidFill>
                              <a:srgbClr val="000000"/>
                            </a:solidFill>
                            <a:round/>
                          </a:ln>
                        </wps:spPr>
                        <wps:style>
                          <a:lnRef idx="0"/>
                          <a:fillRef idx="0"/>
                          <a:effectRef idx="0"/>
                          <a:fontRef idx="minor"/>
                        </wps:style>
                        <wps:bodyPr/>
                      </wps:wsp>
                      <wps:wsp>
                        <wps:cNvSpPr/>
                        <wps:spPr>
                          <a:xfrm>
                            <a:off x="3240" y="9288720"/>
                            <a:ext cx="2510640" cy="720"/>
                          </a:xfrm>
                          <a:prstGeom prst="line">
                            <a:avLst/>
                          </a:prstGeom>
                          <a:ln w="12600">
                            <a:solidFill>
                              <a:srgbClr val="000000"/>
                            </a:solidFill>
                            <a:round/>
                          </a:ln>
                        </wps:spPr>
                        <wps:style>
                          <a:lnRef idx="0"/>
                          <a:fillRef idx="0"/>
                          <a:effectRef idx="0"/>
                          <a:fontRef idx="minor"/>
                        </wps:style>
                        <wps:bodyPr/>
                      </wps:wsp>
                      <wpg:grpSp>
                        <wpg:cNvGrpSpPr/>
                        <wpg:grpSpPr>
                          <a:xfrm>
                            <a:off x="12600" y="9125640"/>
                            <a:ext cx="1581840" cy="160200"/>
                          </a:xfrm>
                        </wpg:grpSpPr>
                        <wps:wsp>
                          <wps:cNvSpPr txBox="1"/>
                          <wps:spPr>
                            <a:xfrm>
                              <a:off x="0" y="5040"/>
                              <a:ext cx="700560" cy="154800"/>
                            </a:xfrm>
                            <a:prstGeom prst="rect">
                              <a:avLst/>
                            </a:prstGeom>
                            <a:noFill/>
                            <a:ln w="0">
                              <a:noFill/>
                            </a:ln>
                          </wps:spPr>
                          <wps:txbx>
                            <w:txbxContent>
                              <w:p>
                                <w:pPr>
                                  <w:overflowPunct w:val="false"/>
                                  <w:spacing w:lineRule="auto" w:line="240"/>
                                  <w:jc w:val="start"/>
                                  <w:rPr/>
                                </w:pPr>
                                <w:r>
                                  <w:rPr>
                                    <w:szCs w:val="20"/>
                                    <w:sz w:val="18"/>
                                    <w:rFonts w:ascii="Arial" w:hAnsi="Arial" w:eastAsia="" w:cs="Arial"/>
                                    <w:lang w:eastAsia="ru-RU"/>
                                  </w:rPr>
                                  <w:t>Разраб</w:t>
                                </w:r>
                                <w:r>
                                  <w:rPr>
                                    <w:szCs w:val="20"/>
                                    <w:sz w:val="18"/>
                                    <w:rFonts w:ascii="Liberation Serif" w:hAnsi="Liberation Serif" w:eastAsia="Noto Serif CJK SC" w:cs="Noto Sans Devanagari"/>
                                    <w:lang w:eastAsia="ru-RU"/>
                                  </w:rPr>
                                  <w:t>.</w:t>
                                </w:r>
                              </w:p>
                            </w:txbxContent>
                          </wps:txbx>
                          <wps:bodyPr wrap="square" lIns="12600" rIns="12600" tIns="12600" bIns="12600" anchor="t">
                            <a:noAutofit/>
                          </wps:bodyPr>
                        </wps:wsp>
                        <wps:wsp>
                          <wps:cNvSpPr txBox="1"/>
                          <wps:spPr>
                            <a:xfrm>
                              <a:off x="734040" y="0"/>
                              <a:ext cx="847800" cy="154800"/>
                            </a:xfrm>
                            <a:prstGeom prst="rect">
                              <a:avLst/>
                            </a:prstGeom>
                            <a:noFill/>
                            <a:ln w="0">
                              <a:noFill/>
                            </a:ln>
                          </wps:spPr>
                          <wps:txbx>
                            <w:txbxContent>
                              <w:p>
                                <w:pPr>
                                  <w:overflowPunct w:val="false"/>
                                  <w:spacing w:lineRule="auto" w:line="240"/>
                                  <w:jc w:val="end"/>
                                  <w:rPr/>
                                </w:pPr>
                                <w:r>
                                  <w:rPr>
                                    <w:szCs w:val="20"/>
                                    <w:sz w:val="18"/>
                                    <w:rFonts w:ascii="Arial" w:hAnsi="Arial" w:eastAsia="" w:cs="Arial"/>
                                    <w:lang w:eastAsia="ru-RU"/>
                                  </w:rPr>
                                  <w:t>Остапов И.В.Остап В.Р.</w:t>
                                </w:r>
                              </w:p>
                            </w:txbxContent>
                          </wps:txbx>
                          <wps:bodyPr wrap="square" lIns="12600" rIns="12600" tIns="12600" bIns="12600" anchor="t">
                            <a:noAutofit/>
                          </wps:bodyPr>
                        </wps:wsp>
                      </wpg:grpSp>
                      <wpg:grpSp>
                        <wpg:cNvGrpSpPr/>
                        <wpg:grpSpPr>
                          <a:xfrm>
                            <a:off x="12600" y="9304200"/>
                            <a:ext cx="1581840" cy="154440"/>
                          </a:xfrm>
                        </wpg:grpSpPr>
                        <wps:wsp>
                          <wps:cNvSpPr txBox="1"/>
                          <wps:spPr>
                            <a:xfrm>
                              <a:off x="0" y="0"/>
                              <a:ext cx="700560" cy="154440"/>
                            </a:xfrm>
                            <a:prstGeom prst="rect">
                              <a:avLst/>
                            </a:prstGeom>
                            <a:noFill/>
                            <a:ln w="0">
                              <a:noFill/>
                            </a:ln>
                          </wps:spPr>
                          <wps:txbx>
                            <w:txbxContent>
                              <w:p>
                                <w:pPr>
                                  <w:overflowPunct w:val="false"/>
                                  <w:spacing w:lineRule="auto" w:line="240"/>
                                  <w:jc w:val="start"/>
                                  <w:rPr/>
                                </w:pPr>
                                <w:r>
                                  <w:rPr>
                                    <w:szCs w:val="20"/>
                                    <w:sz w:val="18"/>
                                    <w:rFonts w:ascii="Arial" w:hAnsi="Arial" w:eastAsia="" w:cs="Arial"/>
                                    <w:lang w:eastAsia="ru-RU"/>
                                  </w:rPr>
                                  <w:t xml:space="preserve"> Рук.</w:t>
                                </w:r>
                              </w:p>
                            </w:txbxContent>
                          </wps:txbx>
                          <wps:bodyPr wrap="square" lIns="12600" rIns="12600" tIns="12600" bIns="12600" anchor="t">
                            <a:noAutofit/>
                          </wps:bodyPr>
                        </wps:wsp>
                        <wps:wsp>
                          <wps:cNvSpPr txBox="1"/>
                          <wps:spPr>
                            <a:xfrm>
                              <a:off x="734040" y="0"/>
                              <a:ext cx="847800" cy="154440"/>
                            </a:xfrm>
                            <a:prstGeom prst="rect">
                              <a:avLst/>
                            </a:prstGeom>
                            <a:noFill/>
                            <a:ln w="0">
                              <a:noFill/>
                            </a:ln>
                          </wps:spPr>
                          <wps:txbx>
                            <w:txbxContent>
                              <w:p>
                                <w:pPr>
                                  <w:overflowPunct w:val="false"/>
                                  <w:spacing w:lineRule="auto" w:line="240"/>
                                  <w:jc w:val="start"/>
                                  <w:rPr/>
                                </w:pPr>
                                <w:r>
                                  <w:rPr>
                                    <w:szCs w:val="20"/>
                                    <w:sz w:val="18"/>
                                    <w:rFonts w:ascii="Arial" w:hAnsi="Arial" w:eastAsia="" w:cs="Arial"/>
                                    <w:lang w:eastAsia="ru-RU"/>
                                  </w:rPr>
                                  <w:t>Донцов ВюМю</w:t>
                                </w:r>
                              </w:p>
                            </w:txbxContent>
                          </wps:txbx>
                          <wps:bodyPr wrap="square" lIns="12600" rIns="12600" tIns="12600" bIns="12600" anchor="t">
                            <a:noAutofit/>
                          </wps:bodyPr>
                        </wps:wsp>
                      </wpg:grpSp>
                      <wpg:grpSp>
                        <wpg:cNvGrpSpPr/>
                        <wpg:grpSpPr>
                          <a:xfrm>
                            <a:off x="12600" y="9481680"/>
                            <a:ext cx="1581840" cy="154440"/>
                          </a:xfrm>
                        </wpg:grpSpPr>
                        <wps:wsp>
                          <wps:cNvSpPr txBox="1"/>
                          <wps:spPr>
                            <a:xfrm>
                              <a:off x="0" y="0"/>
                              <a:ext cx="700560" cy="154440"/>
                            </a:xfrm>
                            <a:prstGeom prst="rect">
                              <a:avLst/>
                            </a:prstGeom>
                            <a:noFill/>
                            <a:ln w="0">
                              <a:noFill/>
                            </a:ln>
                          </wps:spPr>
                          <wps:txbx>
                            <w:txbxContent>
                              <w:p>
                                <w:pPr>
                                  <w:overflowPunct w:val="false"/>
                                  <w:spacing w:lineRule="auto" w:line="240"/>
                                  <w:jc w:val="start"/>
                                  <w:rPr/>
                                </w:pPr>
                                <w:r>
                                  <w:rPr>
                                    <w:szCs w:val="20"/>
                                    <w:sz w:val="18"/>
                                    <w:rFonts w:ascii="Arial" w:hAnsi="Arial" w:eastAsia="" w:cs="Arial"/>
                                    <w:lang w:eastAsia="ru-RU"/>
                                  </w:rPr>
                                  <w:t>Н. конт</w:t>
                                </w:r>
                                <w:r>
                                  <w:rPr>
                                    <w:szCs w:val="20"/>
                                    <w:sz w:val="18"/>
                                    <w:rFonts w:ascii="Liberation Serif" w:hAnsi="Liberation Serif" w:eastAsia="Noto Serif CJK SC" w:cs="Noto Sans Devanagari"/>
                                    <w:lang w:eastAsia="ru-RU"/>
                                  </w:rPr>
                                  <w:t>.</w:t>
                                </w:r>
                              </w:p>
                            </w:txbxContent>
                          </wps:txbx>
                          <wps:bodyPr wrap="square" lIns="12600" rIns="12600" tIns="12600" bIns="12600" anchor="t">
                            <a:noAutofit/>
                          </wps:bodyPr>
                        </wps:wsp>
                        <wps:wsp>
                          <wps:cNvSpPr txBox="1"/>
                          <wps:spPr>
                            <a:xfrm>
                              <a:off x="734040" y="0"/>
                              <a:ext cx="847800" cy="154440"/>
                            </a:xfrm>
                            <a:prstGeom prst="rect">
                              <a:avLst/>
                            </a:prstGeom>
                            <a:noFill/>
                            <a:ln w="0">
                              <a:noFill/>
                            </a:ln>
                          </wps:spPr>
                          <wps:txbx>
                            <w:txbxContent>
                              <w:p>
                                <w:pPr>
                                  <w:overflowPunct w:val="false"/>
                                  <w:spacing w:lineRule="auto" w:line="240"/>
                                  <w:jc w:val="start"/>
                                  <w:rPr/>
                                </w:pPr>
                                <w:r>
                                  <w:rPr>
                                    <w:szCs w:val="20"/>
                                    <w:sz w:val="18"/>
                                    <w:rFonts w:ascii="Arial" w:hAnsi="Arial" w:eastAsia="" w:cs="Arial"/>
                                    <w:lang w:eastAsia="ru-RU"/>
                                  </w:rPr>
                                  <w:t>Лобанова В.А.</w:t>
                                </w:r>
                              </w:p>
                            </w:txbxContent>
                          </wps:txbx>
                          <wps:bodyPr wrap="square" lIns="12600" rIns="12600" tIns="12600" bIns="12600" anchor="t">
                            <a:noAutofit/>
                          </wps:bodyPr>
                        </wps:wsp>
                      </wpg:grpSp>
                      <wpg:grpSp>
                        <wpg:cNvGrpSpPr/>
                        <wpg:grpSpPr>
                          <a:xfrm>
                            <a:off x="12600" y="9653760"/>
                            <a:ext cx="1581840" cy="154800"/>
                          </a:xfrm>
                        </wpg:grpSpPr>
                        <wps:wsp>
                          <wps:cNvSpPr txBox="1"/>
                          <wps:spPr>
                            <a:xfrm>
                              <a:off x="0" y="0"/>
                              <a:ext cx="700560" cy="154800"/>
                            </a:xfrm>
                            <a:prstGeom prst="rect">
                              <a:avLst/>
                            </a:prstGeom>
                            <a:noFill/>
                            <a:ln w="0">
                              <a:noFill/>
                            </a:ln>
                          </wps:spPr>
                          <wps:bodyPr/>
                        </wps:wsp>
                        <wps:wsp>
                          <wps:cNvSpPr txBox="1"/>
                          <wps:spPr>
                            <a:xfrm>
                              <a:off x="734040" y="0"/>
                              <a:ext cx="847800" cy="154800"/>
                            </a:xfrm>
                            <a:prstGeom prst="rect">
                              <a:avLst/>
                            </a:prstGeom>
                            <a:noFill/>
                            <a:ln w="0">
                              <a:noFill/>
                            </a:ln>
                          </wps:spPr>
                          <wps:bodyPr/>
                        </wps:wsp>
                      </wpg:grpSp>
                      <wpg:grpSp>
                        <wpg:cNvGrpSpPr/>
                        <wpg:grpSpPr>
                          <a:xfrm>
                            <a:off x="12600" y="9827280"/>
                            <a:ext cx="1581840" cy="154440"/>
                          </a:xfrm>
                        </wpg:grpSpPr>
                        <wps:wsp>
                          <wps:cNvSpPr txBox="1"/>
                          <wps:spPr>
                            <a:xfrm>
                              <a:off x="0" y="0"/>
                              <a:ext cx="700560" cy="154440"/>
                            </a:xfrm>
                            <a:prstGeom prst="rect">
                              <a:avLst/>
                            </a:prstGeom>
                            <a:noFill/>
                            <a:ln w="0">
                              <a:noFill/>
                            </a:ln>
                          </wps:spPr>
                          <wps:txbx>
                            <w:txbxContent>
                              <w:p>
                                <w:pPr>
                                  <w:overflowPunct w:val="false"/>
                                  <w:spacing w:lineRule="auto" w:line="240"/>
                                  <w:jc w:val="start"/>
                                  <w:rPr/>
                                </w:pPr>
                                <w:r>
                                  <w:rPr>
                                    <w:szCs w:val="20"/>
                                    <w:sz w:val="18"/>
                                    <w:rFonts w:ascii="Arial" w:hAnsi="Arial" w:eastAsia="" w:cs="Arial"/>
                                    <w:lang w:eastAsia="ru-RU"/>
                                  </w:rPr>
                                  <w:t>Зав. каф.</w:t>
                                </w:r>
                              </w:p>
                            </w:txbxContent>
                          </wps:txbx>
                          <wps:bodyPr wrap="square" lIns="12600" rIns="12600" tIns="12600" bIns="12600" anchor="t">
                            <a:noAutofit/>
                          </wps:bodyPr>
                        </wps:wsp>
                        <wps:wsp>
                          <wps:cNvSpPr txBox="1"/>
                          <wps:spPr>
                            <a:xfrm>
                              <a:off x="734040" y="0"/>
                              <a:ext cx="847800" cy="154440"/>
                            </a:xfrm>
                            <a:prstGeom prst="rect">
                              <a:avLst/>
                            </a:prstGeom>
                            <a:noFill/>
                            <a:ln w="0">
                              <a:noFill/>
                            </a:ln>
                          </wps:spPr>
                          <wps:txbx>
                            <w:txbxContent>
                              <w:p>
                                <w:pPr>
                                  <w:overflowPunct w:val="false"/>
                                  <w:spacing w:lineRule="auto" w:line="240"/>
                                  <w:jc w:val="start"/>
                                  <w:rPr/>
                                </w:pPr>
                                <w:r>
                                  <w:rPr>
                                    <w:szCs w:val="20"/>
                                    <w:sz w:val="18"/>
                                    <w:rFonts w:ascii="Arial" w:hAnsi="Arial" w:eastAsia="" w:cs="Arial"/>
                                    <w:lang w:eastAsia="ru-RU"/>
                                  </w:rPr>
                                  <w:t>Мишин В.В.</w:t>
                                </w:r>
                              </w:p>
                            </w:txbxContent>
                          </wps:txbx>
                          <wps:bodyPr wrap="square" lIns="12600" rIns="12600" tIns="12600" bIns="12600" anchor="t">
                            <a:noAutofit/>
                          </wps:bodyPr>
                        </wps:wsp>
                      </wpg:grpSp>
                      <wps:wsp>
                        <wps:cNvSpPr/>
                        <wps:spPr>
                          <a:xfrm>
                            <a:off x="4680720" y="9116640"/>
                            <a:ext cx="720" cy="870120"/>
                          </a:xfrm>
                          <a:prstGeom prst="line">
                            <a:avLst/>
                          </a:prstGeom>
                          <a:ln w="25560">
                            <a:solidFill>
                              <a:srgbClr val="000000"/>
                            </a:solidFill>
                            <a:round/>
                          </a:ln>
                        </wps:spPr>
                        <wps:style>
                          <a:lnRef idx="0"/>
                          <a:fillRef idx="0"/>
                          <a:effectRef idx="0"/>
                          <a:fontRef idx="minor"/>
                        </wps:style>
                        <wps:bodyPr/>
                      </wps:wsp>
                      <wps:wsp>
                        <wps:cNvSpPr txBox="1"/>
                        <wps:spPr>
                          <a:xfrm>
                            <a:off x="2565360" y="9154080"/>
                            <a:ext cx="2072520" cy="804600"/>
                          </a:xfrm>
                          <a:prstGeom prst="rect">
                            <a:avLst/>
                          </a:prstGeom>
                          <a:noFill/>
                          <a:ln w="0">
                            <a:noFill/>
                          </a:ln>
                        </wps:spPr>
                        <wps:txbx>
                          <w:txbxContent>
                            <w:p>
                              <w:pPr>
                                <w:overflowPunct w:val="false"/>
                                <w:spacing w:lineRule="auto" w:line="240"/>
                                <w:jc w:val="both"/>
                                <w:rPr/>
                              </w:pPr>
                              <w:r>
                                <w:rPr>
                                  <w:szCs w:val="20"/>
                                  <w:sz w:val="20"/>
                                  <w:rFonts w:ascii="Arial" w:hAnsi="Arial" w:eastAsia="" w:cs="Arial"/>
                                  <w:lang w:eastAsia="ru-RU"/>
                                </w:rPr>
                                <w:t>Устройство определения параметров периодических сигналов в условиях помех</w:t>
                              </w:r>
                            </w:p>
                            <w:p>
                              <w:pPr>
                                <w:overflowPunct w:val="false"/>
                                <w:spacing w:lineRule="auto" w:line="240"/>
                                <w:jc w:val="both"/>
                                <w:rPr/>
                              </w:pPr>
                              <w:r>
                                <w:rPr>
                                  <w:szCs w:val="20"/>
                                  <w:sz w:val="18"/>
                                  <w:rFonts w:ascii="Arial" w:hAnsi="Arial" w:eastAsia="" w:cs="Arial"/>
                                  <w:lang w:eastAsia="ru-RU"/>
                                </w:rPr>
                                <w:t>Расчетно-пояснительная записка</w:t>
                              </w:r>
                            </w:p>
                          </w:txbxContent>
                        </wps:txbx>
                        <wps:bodyPr wrap="square" lIns="12600" rIns="12600" tIns="12600" bIns="12600" anchor="t">
                          <a:noAutofit/>
                        </wps:bodyPr>
                      </wps:wsp>
                      <wps:wsp>
                        <wps:cNvSpPr/>
                        <wps:spPr>
                          <a:xfrm>
                            <a:off x="4685040" y="9290520"/>
                            <a:ext cx="1900440" cy="720"/>
                          </a:xfrm>
                          <a:prstGeom prst="line">
                            <a:avLst/>
                          </a:prstGeom>
                          <a:ln w="25560">
                            <a:solidFill>
                              <a:srgbClr val="000000"/>
                            </a:solidFill>
                            <a:round/>
                          </a:ln>
                        </wps:spPr>
                        <wps:style>
                          <a:lnRef idx="0"/>
                          <a:fillRef idx="0"/>
                          <a:effectRef idx="0"/>
                          <a:fontRef idx="minor"/>
                        </wps:style>
                        <wps:bodyPr/>
                      </wps:wsp>
                      <wps:wsp>
                        <wps:cNvSpPr/>
                        <wps:spPr>
                          <a:xfrm>
                            <a:off x="4684320" y="9466560"/>
                            <a:ext cx="1900440" cy="1440"/>
                          </a:xfrm>
                          <a:prstGeom prst="line">
                            <a:avLst/>
                          </a:prstGeom>
                          <a:ln w="25560">
                            <a:solidFill>
                              <a:srgbClr val="000000"/>
                            </a:solidFill>
                            <a:round/>
                          </a:ln>
                        </wps:spPr>
                        <wps:style>
                          <a:lnRef idx="0"/>
                          <a:fillRef idx="0"/>
                          <a:effectRef idx="0"/>
                          <a:fontRef idx="minor"/>
                        </wps:style>
                        <wps:bodyPr/>
                      </wps:wsp>
                      <wps:wsp>
                        <wps:cNvSpPr/>
                        <wps:spPr>
                          <a:xfrm>
                            <a:off x="5760720" y="9116640"/>
                            <a:ext cx="1440" cy="345960"/>
                          </a:xfrm>
                          <a:prstGeom prst="line">
                            <a:avLst/>
                          </a:prstGeom>
                          <a:ln w="25560">
                            <a:solidFill>
                              <a:srgbClr val="000000"/>
                            </a:solidFill>
                            <a:round/>
                          </a:ln>
                        </wps:spPr>
                        <wps:style>
                          <a:lnRef idx="0"/>
                          <a:fillRef idx="0"/>
                          <a:effectRef idx="0"/>
                          <a:fontRef idx="minor"/>
                        </wps:style>
                        <wps:bodyPr/>
                      </wps:wsp>
                      <wps:wsp>
                        <wps:cNvSpPr txBox="1"/>
                        <wps:spPr>
                          <a:xfrm>
                            <a:off x="4709160" y="9126360"/>
                            <a:ext cx="485640" cy="15444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Лит.</w:t>
                              </w:r>
                            </w:p>
                          </w:txbxContent>
                        </wps:txbx>
                        <wps:bodyPr wrap="square" lIns="12600" rIns="12600" tIns="12600" bIns="12600" anchor="t">
                          <a:noAutofit/>
                        </wps:bodyPr>
                      </wps:wsp>
                      <wps:wsp>
                        <wps:cNvSpPr txBox="1"/>
                        <wps:spPr>
                          <a:xfrm>
                            <a:off x="5790600" y="9126360"/>
                            <a:ext cx="766440" cy="15444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Листов</w:t>
                              </w:r>
                            </w:p>
                          </w:txbxContent>
                        </wps:txbx>
                        <wps:bodyPr wrap="square" lIns="12600" rIns="12600" tIns="12600" bIns="12600" anchor="t">
                          <a:noAutofit/>
                        </wps:bodyPr>
                      </wps:wsp>
                      <wps:wsp>
                        <wps:cNvSpPr txBox="1"/>
                        <wps:spPr>
                          <a:xfrm>
                            <a:off x="5794920" y="9303480"/>
                            <a:ext cx="766440" cy="154440"/>
                          </a:xfrm>
                          <a:prstGeom prst="rect">
                            <a:avLst/>
                          </a:prstGeom>
                          <a:noFill/>
                          <a:ln w="0">
                            <a:noFill/>
                          </a:ln>
                        </wps:spPr>
                        <wps:txbx>
                          <w:txbxContent>
                            <w:p>
                              <w:pPr>
                                <w:overflowPunct w:val="false"/>
                                <w:spacing w:lineRule="auto" w:line="240"/>
                                <w:jc w:val="center"/>
                                <w:rPr/>
                              </w:pPr>
                              <w:r>
                                <w:rPr>
                                  <w:szCs w:val="20"/>
                                  <w:sz w:val="18"/>
                                  <w:rFonts w:ascii="ISOCPEUR" w:hAnsi="ISOCPEUR" w:eastAsia="Noto Serif CJK SC" w:cs="Noto Sans Devanagari"/>
                                  <w:lang w:eastAsia="ru-RU"/>
                                </w:rPr>
                                <w:t>??</w:t>
                              </w:r>
                            </w:p>
                            <w:p>
                              <w:pPr>
                                <w:overflowPunct w:val="false"/>
                                <w:spacing w:lineRule="auto" w:line="240"/>
                                <w:jc w:val="center"/>
                                <w:rPr/>
                              </w:pPr>
                              <w:r>
                                <w:rPr>
                                  <w:sz w:val="28"/>
                                  <w:szCs w:val="20"/>
                                  <w:rFonts w:ascii="ISOCPEUR" w:hAnsi="ISOCPEUR" w:eastAsia="Noto Serif CJK SC" w:cs="Noto Sans Devanagari"/>
                                  <w:lang w:eastAsia="ru-RU"/>
                                </w:rPr>
                              </w:r>
                            </w:p>
                          </w:txbxContent>
                        </wps:txbx>
                        <wps:bodyPr wrap="square" lIns="12600" rIns="12600" tIns="12600" bIns="12600" anchor="t">
                          <a:noAutofit/>
                        </wps:bodyPr>
                      </wps:wsp>
                      <wps:wsp>
                        <wps:cNvSpPr/>
                        <wps:spPr>
                          <a:xfrm>
                            <a:off x="4861080" y="9294480"/>
                            <a:ext cx="720" cy="168840"/>
                          </a:xfrm>
                          <a:prstGeom prst="line">
                            <a:avLst/>
                          </a:prstGeom>
                          <a:ln w="12600">
                            <a:solidFill>
                              <a:srgbClr val="000000"/>
                            </a:solidFill>
                            <a:round/>
                          </a:ln>
                        </wps:spPr>
                        <wps:style>
                          <a:lnRef idx="0"/>
                          <a:fillRef idx="0"/>
                          <a:effectRef idx="0"/>
                          <a:fontRef idx="minor"/>
                        </wps:style>
                        <wps:bodyPr/>
                      </wps:wsp>
                      <wps:wsp>
                        <wps:cNvSpPr/>
                        <wps:spPr>
                          <a:xfrm>
                            <a:off x="5040720" y="9294480"/>
                            <a:ext cx="720" cy="168840"/>
                          </a:xfrm>
                          <a:prstGeom prst="line">
                            <a:avLst/>
                          </a:prstGeom>
                          <a:ln w="12600">
                            <a:solidFill>
                              <a:srgbClr val="000000"/>
                            </a:solidFill>
                            <a:round/>
                          </a:ln>
                        </wps:spPr>
                        <wps:style>
                          <a:lnRef idx="0"/>
                          <a:fillRef idx="0"/>
                          <a:effectRef idx="0"/>
                          <a:fontRef idx="minor"/>
                        </wps:style>
                        <wps:bodyPr/>
                      </wps:wsp>
                      <wps:wsp>
                        <wps:cNvSpPr txBox="1"/>
                        <wps:spPr>
                          <a:xfrm>
                            <a:off x="4709160" y="9555480"/>
                            <a:ext cx="1847880" cy="402480"/>
                          </a:xfrm>
                          <a:prstGeom prst="rect">
                            <a:avLst/>
                          </a:prstGeom>
                          <a:noFill/>
                          <a:ln w="0">
                            <a:noFill/>
                          </a:ln>
                        </wps:spPr>
                        <wps:txbx>
                          <w:txbxContent>
                            <w:p>
                              <w:pPr>
                                <w:overflowPunct w:val="false"/>
                                <w:spacing w:lineRule="auto" w:line="240"/>
                                <w:jc w:val="center"/>
                                <w:rPr/>
                              </w:pPr>
                              <w:r>
                                <w:rPr>
                                  <w:szCs w:val="20"/>
                                  <w:sz w:val="24"/>
                                  <w:rFonts w:ascii="Arial" w:hAnsi="Arial" w:eastAsia="" w:cs="Arial"/>
                                  <w:lang w:eastAsia="ru-RU"/>
                                </w:rPr>
                                <w:t>ОГУ им. И.С. Тургенева,</w:t>
                              </w:r>
                            </w:p>
                            <w:p>
                              <w:pPr>
                                <w:overflowPunct w:val="false"/>
                                <w:spacing w:lineRule="auto" w:line="240"/>
                                <w:jc w:val="center"/>
                                <w:rPr/>
                              </w:pPr>
                              <w:r>
                                <w:rPr>
                                  <w:szCs w:val="20"/>
                                  <w:sz w:val="24"/>
                                  <w:rFonts w:ascii="Arial" w:hAnsi="Arial" w:eastAsia="" w:cs="Arial"/>
                                  <w:lang w:eastAsia="ru-RU"/>
                                </w:rPr>
                                <w:t xml:space="preserve"> ИПАИТ, 41КЭ-м, 2025</w:t>
                              </w:r>
                            </w:p>
                            <w:p>
                              <w:pPr>
                                <w:overflowPunct w:val="false"/>
                                <w:spacing w:lineRule="auto" w:line="240"/>
                                <w:jc w:val="center"/>
                                <w:rPr/>
                              </w:pPr>
                              <w:r>
                                <w:rPr>
                                  <w:sz w:val="28"/>
                                  <w:szCs w:val="20"/>
                                  <w:rFonts w:ascii="ISOCPEUR" w:hAnsi="ISOCPEUR" w:eastAsia="Noto Serif CJK SC" w:cs="Noto Sans Devanagari"/>
                                  <w:lang w:eastAsia="ru-RU"/>
                                </w:rPr>
                              </w:r>
                            </w:p>
                          </w:txbxContent>
                        </wps:txbx>
                        <wps:bodyPr wrap="square" lIns="12600" rIns="12600" tIns="12600" bIns="12600" anchor="t">
                          <a:noAutofit/>
                        </wps:bodyPr>
                      </wps:wsp>
                    </wpg:wgp>
                  </a:graphicData>
                </a:graphic>
              </wp:anchor>
            </w:drawing>
          </mc:Choice>
          <mc:Fallback>
            <w:pict>
              <v:group id="shape_0" alt="Группа 13" style="position:absolute;margin-left:50.6pt;margin-top:23.35pt;width:518.8pt;height:787.15pt" coordorigin="1012,467" coordsize="10376,15743">
                <v:rect id="shape_0" ID="Rectangle 3" stroked="t" o:allowincell="f" style="position:absolute;left:1012;top:467;width:10375;height:15742;mso-wrap-style:none;v-text-anchor:middle;mso-position-horizontal-relative:page;mso-position-vertical-relative:page">
                  <v:fill o:detectmouseclick="t" on="false"/>
                  <v:stroke color="black" weight="25560" joinstyle="round" endcap="flat"/>
                  <w10:wrap type="none"/>
                </v:rect>
                <v:line id="shape_0" from="1527,13993" to="1527,14809" ID="Line 4" stroked="t" o:allowincell="f" style="position:absolute;mso-position-horizontal-relative:page;mso-position-vertical-relative:page">
                  <v:stroke color="black" weight="25560" joinstyle="round" endcap="flat"/>
                  <v:fill o:detectmouseclick="t" on="false"/>
                  <w10:wrap type="none"/>
                </v:line>
                <v:line id="shape_0" from="1017,13985" to="11375,13985" ID="Line 5" stroked="t" o:allowincell="f" style="position:absolute;mso-position-horizontal-relative:page;mso-position-vertical-relative:page">
                  <v:stroke color="black" weight="25560" joinstyle="round" endcap="flat"/>
                  <v:fill o:detectmouseclick="t" on="false"/>
                  <w10:wrap type="none"/>
                </v:line>
                <v:line id="shape_0" from="2146,14000" to="2146,16200" ID="Line 6" stroked="t" o:allowincell="f" style="position:absolute;mso-position-horizontal-relative:page;mso-position-vertical-relative:page">
                  <v:stroke color="black" weight="25560" joinstyle="round" endcap="flat"/>
                  <v:fill o:detectmouseclick="t" on="false"/>
                  <w10:wrap type="none"/>
                </v:line>
                <v:line id="shape_0" from="3564,14000" to="3564,16200" ID="Line 7" stroked="t" o:allowincell="f" style="position:absolute;mso-position-horizontal-relative:page;mso-position-vertical-relative:page">
                  <v:stroke color="black" weight="25560" joinstyle="round" endcap="flat"/>
                  <v:fill o:detectmouseclick="t" on="false"/>
                  <w10:wrap type="none"/>
                </v:line>
                <v:line id="shape_0" from="4414,14000" to="4414,16200" ID="Line 8" stroked="t" o:allowincell="f" style="position:absolute;mso-position-horizontal-relative:page;mso-position-vertical-relative:page">
                  <v:stroke color="black" weight="25560" joinstyle="round" endcap="flat"/>
                  <v:fill o:detectmouseclick="t" on="false"/>
                  <w10:wrap type="none"/>
                </v:line>
                <v:line id="shape_0" from="4981,13993" to="4981,16193" ID="Line 9" stroked="t" o:allowincell="f" style="position:absolute;mso-position-horizontal-relative:page;mso-position-vertical-relative:page">
                  <v:stroke color="black" weight="25560" joinstyle="round" endcap="flat"/>
                  <v:fill o:detectmouseclick="t" on="false"/>
                  <w10:wrap type="none"/>
                </v:line>
                <v:line id="shape_0" from="9234,14824" to="9235,15368" ID="Line 10" stroked="t" o:allowincell="f" style="position:absolute;mso-position-horizontal-relative:page;mso-position-vertical-relative:page">
                  <v:stroke color="black" weight="25560" joinstyle="round" endcap="flat"/>
                  <v:fill o:detectmouseclick="t" on="false"/>
                  <w10:wrap type="none"/>
                </v:line>
                <v:line id="shape_0" from="1017,15653" to="4970,15654" ID="Line 11" stroked="t" o:allowincell="f" style="position:absolute;mso-position-horizontal-relative:page;mso-position-vertical-relative:page">
                  <v:stroke color="black" weight="12600" joinstyle="round" endcap="flat"/>
                  <v:fill o:detectmouseclick="t" on="false"/>
                  <w10:wrap type="none"/>
                </v:line>
                <v:line id="shape_0" from="1017,15931" to="4970,15931" ID="Line 12" stroked="t" o:allowincell="f" style="position:absolute;mso-position-horizontal-relative:page;mso-position-vertical-relative:page">
                  <v:stroke color="black" weight="12600" joinstyle="round" endcap="flat"/>
                  <v:fill o:detectmouseclick="t" on="false"/>
                  <w10:wrap type="none"/>
                </v:line>
                <v:shapetype id="_x0000_t202" coordsize="21600,21600" o:spt="202" path="m,l,21600l21600,21600l21600,xe">
                  <v:stroke joinstyle="miter"/>
                  <v:path gradientshapeok="t" o:connecttype="rect"/>
                </v:shapetype>
                <v:shape id="shape_0" ID="Rectangle 13" stroked="f" o:allowincell="f" style="position:absolute;left:1040;top:14567;width:457;height:242;mso-wrap-style:none;v-text-anchor:middle;mso-position-horizontal-relative:page;mso-position-vertical-relative:page" type="_x0000_t202">
                  <v:fill o:detectmouseclick="t" on="false"/>
                  <v:stroke color="#3465a4" joinstyle="round" endcap="flat"/>
                  <w10:wrap type="none"/>
                </v:shape>
                <v:shape id="shape_0" ID="Rectangle 14" stroked="f" o:allowincell="f" style="position:absolute;left:1557;top:14567;width:570;height:242;mso-wrap-style:none;v-text-anchor:middle;mso-position-horizontal-relative:page;mso-position-vertical-relative:page" type="_x0000_t202">
                  <v:fill o:detectmouseclick="t" on="false"/>
                  <v:stroke color="#3465a4" joinstyle="round" endcap="flat"/>
                  <w10:wrap type="none"/>
                </v:shape>
                <v:shape id="shape_0" ID="Rectangle 15" stroked="f" o:allowincell="f" style="position:absolute;left:2188;top:14567;width:1334;height:242;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Ф.И.О.</w:t>
                        </w:r>
                      </w:p>
                    </w:txbxContent>
                  </v:textbox>
                  <v:fill o:detectmouseclick="t" on="false"/>
                  <v:stroke color="#3465a4" joinstyle="round" endcap="flat"/>
                  <w10:wrap type="none"/>
                </v:shape>
                <v:shape id="shape_0" ID="Rectangle 16" stroked="f" o:allowincell="f" style="position:absolute;left:3597;top:14567;width:795;height:242;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Подпись</w:t>
                        </w:r>
                      </w:p>
                    </w:txbxContent>
                  </v:textbox>
                  <v:fill o:detectmouseclick="t" on="false"/>
                  <v:stroke color="#3465a4" joinstyle="round" endcap="flat"/>
                  <w10:wrap type="none"/>
                </v:shape>
                <v:shape id="shape_0" ID="Rectangle 17" stroked="f" o:allowincell="f" style="position:absolute;left:4438;top:14567;width:518;height:242;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Дата</w:t>
                        </w:r>
                      </w:p>
                    </w:txbxContent>
                  </v:textbox>
                  <v:fill o:detectmouseclick="t" on="false"/>
                  <v:stroke color="#3465a4" joinstyle="round" endcap="flat"/>
                  <w10:wrap type="none"/>
                </v:shape>
                <v:shape id="shape_0" ID="Rectangle 18" stroked="f" o:allowincell="f" style="position:absolute;left:9276;top:14839;width:764;height:242;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Лист</w:t>
                        </w:r>
                      </w:p>
                    </w:txbxContent>
                  </v:textbox>
                  <v:fill o:detectmouseclick="t" on="false"/>
                  <v:stroke color="#3465a4" joinstyle="round" endcap="flat"/>
                  <w10:wrap type="none"/>
                </v:shape>
                <v:shape id="shape_0" ID="Rectangle 19" stroked="f" o:allowincell="f" style="position:absolute;left:9276;top:15126;width:764;height:243;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3</w:t>
                        </w:r>
                      </w:p>
                    </w:txbxContent>
                  </v:textbox>
                  <v:fill o:detectmouseclick="t" on="false"/>
                  <v:stroke color="#3465a4" joinstyle="round" endcap="flat"/>
                  <w10:wrap type="none"/>
                </v:shape>
                <v:shape id="shape_0" ID="Rectangle 20" stroked="f" o:allowincell="f" style="position:absolute;left:5038;top:14227;width:6307;height:374;mso-wrap-style:square;v-text-anchor:top;mso-position-horizontal-relative:page;mso-position-vertical-relative:page" type="_x0000_t202">
                  <v:textbox>
                    <w:txbxContent>
                      <w:p>
                        <w:pPr>
                          <w:overflowPunct w:val="false"/>
                          <w:spacing w:lineRule="auto" w:line="240"/>
                          <w:jc w:val="center"/>
                          <w:rPr/>
                        </w:pPr>
                        <w:r>
                          <w:rPr>
                            <w:sz w:val="22"/>
                            <w:szCs w:val="20"/>
                            <w:rFonts w:ascii="Arial" w:hAnsi="Arial" w:eastAsia="" w:cs="Arial"/>
                            <w:lang w:eastAsia="ru-RU"/>
                          </w:rPr>
                          <w:t>ВКР.11.04.03.245115.2026.01 ПЗ</w:t>
                        </w:r>
                      </w:p>
                    </w:txbxContent>
                  </v:textbox>
                  <v:fill o:detectmouseclick="t" on="false"/>
                  <v:stroke color="#3465a4" joinstyle="round" endcap="flat"/>
                  <w10:wrap type="none"/>
                </v:shape>
                <v:line id="shape_0" from="1018,14820" to="11376,14820" ID="Line 21" stroked="t" o:allowincell="f" style="position:absolute;mso-position-horizontal-relative:page;mso-position-vertical-relative:page">
                  <v:stroke color="black" weight="25560" joinstyle="round" endcap="flat"/>
                  <v:fill o:detectmouseclick="t" on="false"/>
                  <w10:wrap type="none"/>
                </v:line>
                <v:line id="shape_0" from="1025,14542" to="4978,14542" ID="Line 22" stroked="t" o:allowincell="f" style="position:absolute;mso-position-horizontal-relative:page;mso-position-vertical-relative:page">
                  <v:stroke color="black" weight="25560" joinstyle="round" endcap="flat"/>
                  <v:fill o:detectmouseclick="t" on="false"/>
                  <w10:wrap type="none"/>
                </v:line>
                <v:line id="shape_0" from="1017,14263" to="4970,14263" ID="Line 23" stroked="t" o:allowincell="f" style="position:absolute;mso-position-horizontal-relative:page;mso-position-vertical-relative:page">
                  <v:stroke color="black" weight="12600" joinstyle="round" endcap="flat"/>
                  <v:fill o:detectmouseclick="t" on="false"/>
                  <w10:wrap type="none"/>
                </v:line>
                <v:line id="shape_0" from="1017,15374" to="4970,15374" ID="Line 24" stroked="t" o:allowincell="f" style="position:absolute;mso-position-horizontal-relative:page;mso-position-vertical-relative:page">
                  <v:stroke color="black" weight="12600" joinstyle="round" endcap="flat"/>
                  <v:fill o:detectmouseclick="t" on="false"/>
                  <w10:wrap type="none"/>
                </v:line>
                <v:line id="shape_0" from="1017,15095" to="4970,15095" ID="Line 25" stroked="t" o:allowincell="f" style="position:absolute;mso-position-horizontal-relative:page;mso-position-vertical-relative:page">
                  <v:stroke color="black" weight="12600" joinstyle="round" endcap="flat"/>
                  <v:fill o:detectmouseclick="t" on="false"/>
                  <w10:wrap type="none"/>
                </v:line>
                <v:group id="shape_0" alt="Group 26" style="position:absolute;left:1032;top:14838;width:2491;height:252">
                  <v:shape id="shape_0" ID="Rectangle 27" stroked="f" o:allowincell="f" style="position:absolute;left:1032;top:14846;width:1102;height:243;mso-wrap-style:square;v-text-anchor:top;mso-position-horizontal-relative:page;mso-position-vertical-relative:page" type="_x0000_t202">
                    <v:textbox>
                      <w:txbxContent>
                        <w:p>
                          <w:pPr>
                            <w:overflowPunct w:val="false"/>
                            <w:spacing w:lineRule="auto" w:line="240"/>
                            <w:jc w:val="start"/>
                            <w:rPr/>
                          </w:pPr>
                          <w:r>
                            <w:rPr>
                              <w:szCs w:val="20"/>
                              <w:sz w:val="18"/>
                              <w:rFonts w:ascii="Arial" w:hAnsi="Arial" w:eastAsia="" w:cs="Arial"/>
                              <w:lang w:eastAsia="ru-RU"/>
                            </w:rPr>
                            <w:t>Разраб</w:t>
                          </w:r>
                          <w:r>
                            <w:rPr>
                              <w:szCs w:val="20"/>
                              <w:sz w:val="18"/>
                              <w:rFonts w:ascii="Liberation Serif" w:hAnsi="Liberation Serif" w:eastAsia="Noto Serif CJK SC" w:cs="Noto Sans Devanagari"/>
                              <w:lang w:eastAsia="ru-RU"/>
                            </w:rPr>
                            <w:t>.</w:t>
                          </w:r>
                        </w:p>
                      </w:txbxContent>
                    </v:textbox>
                    <v:fill o:detectmouseclick="t" on="false"/>
                    <v:stroke color="#3465a4" joinstyle="round" endcap="flat"/>
                    <w10:wrap type="none"/>
                  </v:shape>
                  <v:shape id="shape_0" ID="Rectangle 28" stroked="f" o:allowincell="f" style="position:absolute;left:2188;top:14838;width:1334;height:243;mso-wrap-style:square;v-text-anchor:top;mso-position-horizontal-relative:page;mso-position-vertical-relative:page" type="_x0000_t202">
                    <v:textbox>
                      <w:txbxContent>
                        <w:p>
                          <w:pPr>
                            <w:overflowPunct w:val="false"/>
                            <w:spacing w:lineRule="auto" w:line="240"/>
                            <w:jc w:val="end"/>
                            <w:rPr/>
                          </w:pPr>
                          <w:r>
                            <w:rPr>
                              <w:szCs w:val="20"/>
                              <w:sz w:val="18"/>
                              <w:rFonts w:ascii="Arial" w:hAnsi="Arial" w:eastAsia="" w:cs="Arial"/>
                              <w:lang w:eastAsia="ru-RU"/>
                            </w:rPr>
                            <w:t>Остапов И.В.Остап В.Р.</w:t>
                          </w:r>
                        </w:p>
                      </w:txbxContent>
                    </v:textbox>
                    <v:fill o:detectmouseclick="t" on="false"/>
                    <v:stroke color="#3465a4" joinstyle="round" endcap="flat"/>
                    <w10:wrap type="none"/>
                  </v:shape>
                </v:group>
                <v:group id="shape_0" alt="Group 29" style="position:absolute;left:1032;top:15119;width:2491;height:243">
                  <v:shape id="shape_0" ID="Rectangle 30" stroked="f" o:allowincell="f" style="position:absolute;left:1032;top:15119;width:1102;height:242;mso-wrap-style:square;v-text-anchor:top;mso-position-horizontal-relative:page;mso-position-vertical-relative:page" type="_x0000_t202">
                    <v:textbox>
                      <w:txbxContent>
                        <w:p>
                          <w:pPr>
                            <w:overflowPunct w:val="false"/>
                            <w:spacing w:lineRule="auto" w:line="240"/>
                            <w:jc w:val="start"/>
                            <w:rPr/>
                          </w:pPr>
                          <w:r>
                            <w:rPr>
                              <w:szCs w:val="20"/>
                              <w:sz w:val="18"/>
                              <w:rFonts w:ascii="Arial" w:hAnsi="Arial" w:eastAsia="" w:cs="Arial"/>
                              <w:lang w:eastAsia="ru-RU"/>
                            </w:rPr>
                            <w:t xml:space="preserve"> Рук.</w:t>
                          </w:r>
                        </w:p>
                      </w:txbxContent>
                    </v:textbox>
                    <v:fill o:detectmouseclick="t" on="false"/>
                    <v:stroke color="#3465a4" joinstyle="round" endcap="flat"/>
                    <w10:wrap type="none"/>
                  </v:shape>
                  <v:shape id="shape_0" ID="Rectangle 31" stroked="f" o:allowincell="f" style="position:absolute;left:2188;top:15119;width:1334;height:242;mso-wrap-style:square;v-text-anchor:top;mso-position-horizontal-relative:page;mso-position-vertical-relative:page" type="_x0000_t202">
                    <v:textbox>
                      <w:txbxContent>
                        <w:p>
                          <w:pPr>
                            <w:overflowPunct w:val="false"/>
                            <w:spacing w:lineRule="auto" w:line="240"/>
                            <w:jc w:val="start"/>
                            <w:rPr/>
                          </w:pPr>
                          <w:r>
                            <w:rPr>
                              <w:szCs w:val="20"/>
                              <w:sz w:val="18"/>
                              <w:rFonts w:ascii="Arial" w:hAnsi="Arial" w:eastAsia="" w:cs="Arial"/>
                              <w:lang w:eastAsia="ru-RU"/>
                            </w:rPr>
                            <w:t>Донцов ВюМю</w:t>
                          </w:r>
                        </w:p>
                      </w:txbxContent>
                    </v:textbox>
                    <v:fill o:detectmouseclick="t" on="false"/>
                    <v:stroke color="#3465a4" joinstyle="round" endcap="flat"/>
                    <w10:wrap type="none"/>
                  </v:shape>
                </v:group>
                <v:group id="shape_0" alt="Group 32" style="position:absolute;left:1032;top:15399;width:2491;height:243">
                  <v:shape id="shape_0" ID="Rectangle 33" stroked="f" o:allowincell="f" style="position:absolute;left:1032;top:15399;width:1102;height:242;mso-wrap-style:square;v-text-anchor:top;mso-position-horizontal-relative:page;mso-position-vertical-relative:page" type="_x0000_t202">
                    <v:textbox>
                      <w:txbxContent>
                        <w:p>
                          <w:pPr>
                            <w:overflowPunct w:val="false"/>
                            <w:spacing w:lineRule="auto" w:line="240"/>
                            <w:jc w:val="start"/>
                            <w:rPr/>
                          </w:pPr>
                          <w:r>
                            <w:rPr>
                              <w:szCs w:val="20"/>
                              <w:sz w:val="18"/>
                              <w:rFonts w:ascii="Arial" w:hAnsi="Arial" w:eastAsia="" w:cs="Arial"/>
                              <w:lang w:eastAsia="ru-RU"/>
                            </w:rPr>
                            <w:t>Н. конт</w:t>
                          </w:r>
                          <w:r>
                            <w:rPr>
                              <w:szCs w:val="20"/>
                              <w:sz w:val="18"/>
                              <w:rFonts w:ascii="Liberation Serif" w:hAnsi="Liberation Serif" w:eastAsia="Noto Serif CJK SC" w:cs="Noto Sans Devanagari"/>
                              <w:lang w:eastAsia="ru-RU"/>
                            </w:rPr>
                            <w:t>.</w:t>
                          </w:r>
                        </w:p>
                      </w:txbxContent>
                    </v:textbox>
                    <v:fill o:detectmouseclick="t" on="false"/>
                    <v:stroke color="#3465a4" joinstyle="round" endcap="flat"/>
                    <w10:wrap type="none"/>
                  </v:shape>
                  <v:shape id="shape_0" ID="Rectangle 34" stroked="f" o:allowincell="f" style="position:absolute;left:2188;top:15399;width:1334;height:242;mso-wrap-style:square;v-text-anchor:top;mso-position-horizontal-relative:page;mso-position-vertical-relative:page" type="_x0000_t202">
                    <v:textbox>
                      <w:txbxContent>
                        <w:p>
                          <w:pPr>
                            <w:overflowPunct w:val="false"/>
                            <w:spacing w:lineRule="auto" w:line="240"/>
                            <w:jc w:val="start"/>
                            <w:rPr/>
                          </w:pPr>
                          <w:r>
                            <w:rPr>
                              <w:szCs w:val="20"/>
                              <w:sz w:val="18"/>
                              <w:rFonts w:ascii="Arial" w:hAnsi="Arial" w:eastAsia="" w:cs="Arial"/>
                              <w:lang w:eastAsia="ru-RU"/>
                            </w:rPr>
                            <w:t>Лобанова В.А.</w:t>
                          </w:r>
                        </w:p>
                      </w:txbxContent>
                    </v:textbox>
                    <v:fill o:detectmouseclick="t" on="false"/>
                    <v:stroke color="#3465a4" joinstyle="round" endcap="flat"/>
                    <w10:wrap type="none"/>
                  </v:shape>
                </v:group>
                <v:group id="shape_0" alt="Group 35" style="position:absolute;left:1032;top:15670;width:2491;height:244">
                  <v:shape id="shape_0" ID="Rectangle 36" stroked="f" o:allowincell="f" style="position:absolute;left:1032;top:15670;width:1102;height:243;mso-wrap-style:none;v-text-anchor:middle;mso-position-horizontal-relative:page;mso-position-vertical-relative:page" type="_x0000_t202">
                    <v:fill o:detectmouseclick="t" on="false"/>
                    <v:stroke color="#3465a4" joinstyle="round" endcap="flat"/>
                    <w10:wrap type="none"/>
                  </v:shape>
                  <v:shape id="shape_0" ID="Rectangle 37" stroked="f" o:allowincell="f" style="position:absolute;left:2188;top:15670;width:1334;height:243;mso-wrap-style:none;v-text-anchor:middle;mso-position-horizontal-relative:page;mso-position-vertical-relative:page" type="_x0000_t202">
                    <v:fill o:detectmouseclick="t" on="false"/>
                    <v:stroke color="#3465a4" joinstyle="round" endcap="flat"/>
                    <w10:wrap type="none"/>
                  </v:shape>
                </v:group>
                <v:group id="shape_0" alt="Group 38" style="position:absolute;left:1032;top:15943;width:2491;height:243">
                  <v:shape id="shape_0" ID="Rectangle 39" stroked="f" o:allowincell="f" style="position:absolute;left:1032;top:15943;width:1102;height:242;mso-wrap-style:square;v-text-anchor:top;mso-position-horizontal-relative:page;mso-position-vertical-relative:page" type="_x0000_t202">
                    <v:textbox>
                      <w:txbxContent>
                        <w:p>
                          <w:pPr>
                            <w:overflowPunct w:val="false"/>
                            <w:spacing w:lineRule="auto" w:line="240"/>
                            <w:jc w:val="start"/>
                            <w:rPr/>
                          </w:pPr>
                          <w:r>
                            <w:rPr>
                              <w:szCs w:val="20"/>
                              <w:sz w:val="18"/>
                              <w:rFonts w:ascii="Arial" w:hAnsi="Arial" w:eastAsia="" w:cs="Arial"/>
                              <w:lang w:eastAsia="ru-RU"/>
                            </w:rPr>
                            <w:t>Зав. каф.</w:t>
                          </w:r>
                        </w:p>
                      </w:txbxContent>
                    </v:textbox>
                    <v:fill o:detectmouseclick="t" on="false"/>
                    <v:stroke color="#3465a4" joinstyle="round" endcap="flat"/>
                    <w10:wrap type="none"/>
                  </v:shape>
                  <v:shape id="shape_0" ID="Rectangle 40" stroked="f" o:allowincell="f" style="position:absolute;left:2188;top:15943;width:1334;height:242;mso-wrap-style:square;v-text-anchor:top;mso-position-horizontal-relative:page;mso-position-vertical-relative:page" type="_x0000_t202">
                    <v:textbox>
                      <w:txbxContent>
                        <w:p>
                          <w:pPr>
                            <w:overflowPunct w:val="false"/>
                            <w:spacing w:lineRule="auto" w:line="240"/>
                            <w:jc w:val="start"/>
                            <w:rPr/>
                          </w:pPr>
                          <w:r>
                            <w:rPr>
                              <w:szCs w:val="20"/>
                              <w:sz w:val="18"/>
                              <w:rFonts w:ascii="Arial" w:hAnsi="Arial" w:eastAsia="" w:cs="Arial"/>
                              <w:lang w:eastAsia="ru-RU"/>
                            </w:rPr>
                            <w:t>Мишин В.В.</w:t>
                          </w:r>
                        </w:p>
                      </w:txbxContent>
                    </v:textbox>
                    <v:fill o:detectmouseclick="t" on="false"/>
                    <v:stroke color="#3465a4" joinstyle="round" endcap="flat"/>
                    <w10:wrap type="none"/>
                  </v:shape>
                </v:group>
                <v:line id="shape_0" from="8383,14824" to="8383,16193" ID="Line 41" stroked="t" o:allowincell="f" style="position:absolute;mso-position-horizontal-relative:page;mso-position-vertical-relative:page">
                  <v:stroke color="black" weight="25560" joinstyle="round" endcap="flat"/>
                  <v:fill o:detectmouseclick="t" on="false"/>
                  <w10:wrap type="none"/>
                </v:line>
                <v:shape id="shape_0" ID="Rectangle 42" stroked="f" o:allowincell="f" style="position:absolute;left:5052;top:14883;width:3263;height:1266;mso-wrap-style:square;v-text-anchor:top;mso-position-horizontal-relative:page;mso-position-vertical-relative:page" type="_x0000_t202">
                  <v:textbox>
                    <w:txbxContent>
                      <w:p>
                        <w:pPr>
                          <w:overflowPunct w:val="false"/>
                          <w:spacing w:lineRule="auto" w:line="240"/>
                          <w:jc w:val="both"/>
                          <w:rPr/>
                        </w:pPr>
                        <w:r>
                          <w:rPr>
                            <w:szCs w:val="20"/>
                            <w:sz w:val="20"/>
                            <w:rFonts w:ascii="Arial" w:hAnsi="Arial" w:eastAsia="" w:cs="Arial"/>
                            <w:lang w:eastAsia="ru-RU"/>
                          </w:rPr>
                          <w:t>Устройство определения параметров периодических сигналов в условиях помех</w:t>
                        </w:r>
                      </w:p>
                      <w:p>
                        <w:pPr>
                          <w:overflowPunct w:val="false"/>
                          <w:spacing w:lineRule="auto" w:line="240"/>
                          <w:jc w:val="both"/>
                          <w:rPr/>
                        </w:pPr>
                        <w:r>
                          <w:rPr>
                            <w:szCs w:val="20"/>
                            <w:sz w:val="18"/>
                            <w:rFonts w:ascii="Arial" w:hAnsi="Arial" w:eastAsia="" w:cs="Arial"/>
                            <w:lang w:eastAsia="ru-RU"/>
                          </w:rPr>
                          <w:t>Расчетно-пояснительная записка</w:t>
                        </w:r>
                      </w:p>
                    </w:txbxContent>
                  </v:textbox>
                  <v:fill o:detectmouseclick="t" on="false"/>
                  <v:stroke color="#3465a4" joinstyle="round" endcap="flat"/>
                  <w10:wrap type="none"/>
                </v:shape>
                <v:line id="shape_0" from="8390,15098" to="11382,15098" ID="Line 43" stroked="t" o:allowincell="f" style="position:absolute;mso-position-horizontal-relative:page;mso-position-vertical-relative:page">
                  <v:stroke color="black" weight="25560" joinstyle="round" endcap="flat"/>
                  <v:fill o:detectmouseclick="t" on="false"/>
                  <w10:wrap type="none"/>
                </v:line>
                <v:line id="shape_0" from="8389,15375" to="11381,15376" ID="Line 44" stroked="t" o:allowincell="f" style="position:absolute;mso-position-horizontal-relative:page;mso-position-vertical-relative:page">
                  <v:stroke color="black" weight="25560" joinstyle="round" endcap="flat"/>
                  <v:fill o:detectmouseclick="t" on="false"/>
                  <w10:wrap type="none"/>
                </v:line>
                <v:line id="shape_0" from="10084,14824" to="10085,15368" ID="Line 45" stroked="t" o:allowincell="f" style="position:absolute;mso-position-horizontal-relative:page;mso-position-vertical-relative:page">
                  <v:stroke color="black" weight="25560" joinstyle="round" endcap="flat"/>
                  <v:fill o:detectmouseclick="t" on="false"/>
                  <w10:wrap type="none"/>
                </v:line>
                <v:shape id="shape_0" ID="Rectangle 46" stroked="f" o:allowincell="f" style="position:absolute;left:8428;top:14839;width:764;height:242;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Лит.</w:t>
                        </w:r>
                      </w:p>
                    </w:txbxContent>
                  </v:textbox>
                  <v:fill o:detectmouseclick="t" on="false"/>
                  <v:stroke color="#3465a4" joinstyle="round" endcap="flat"/>
                  <w10:wrap type="none"/>
                </v:shape>
                <v:shape id="shape_0" ID="Rectangle 47" stroked="f" o:allowincell="f" style="position:absolute;left:10131;top:14839;width:1206;height:242;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Листов</w:t>
                        </w:r>
                      </w:p>
                    </w:txbxContent>
                  </v:textbox>
                  <v:fill o:detectmouseclick="t" on="false"/>
                  <v:stroke color="#3465a4" joinstyle="round" endcap="flat"/>
                  <w10:wrap type="none"/>
                </v:shape>
                <v:shape id="shape_0" ID="Rectangle 48" stroked="f" o:allowincell="f" style="position:absolute;left:10138;top:15118;width:1206;height:242;mso-wrap-style:square;v-text-anchor:top;mso-position-horizontal-relative:page;mso-position-vertical-relative:page" type="_x0000_t202">
                  <v:textbox>
                    <w:txbxContent>
                      <w:p>
                        <w:pPr>
                          <w:overflowPunct w:val="false"/>
                          <w:spacing w:lineRule="auto" w:line="240"/>
                          <w:jc w:val="center"/>
                          <w:rPr/>
                        </w:pPr>
                        <w:r>
                          <w:rPr>
                            <w:szCs w:val="20"/>
                            <w:sz w:val="18"/>
                            <w:rFonts w:ascii="ISOCPEUR" w:hAnsi="ISOCPEUR" w:eastAsia="Noto Serif CJK SC" w:cs="Noto Sans Devanagari"/>
                            <w:lang w:eastAsia="ru-RU"/>
                          </w:rPr>
                          <w:t>??</w:t>
                        </w:r>
                      </w:p>
                      <w:p>
                        <w:pPr>
                          <w:overflowPunct w:val="false"/>
                          <w:spacing w:lineRule="auto" w:line="240"/>
                          <w:jc w:val="center"/>
                          <w:rPr/>
                        </w:pPr>
                        <w:r>
                          <w:rPr>
                            <w:sz w:val="28"/>
                            <w:szCs w:val="20"/>
                            <w:rFonts w:ascii="ISOCPEUR" w:hAnsi="ISOCPEUR" w:eastAsia="Noto Serif CJK SC" w:cs="Noto Sans Devanagari"/>
                            <w:lang w:eastAsia="ru-RU"/>
                          </w:rPr>
                        </w:r>
                      </w:p>
                    </w:txbxContent>
                  </v:textbox>
                  <v:fill o:detectmouseclick="t" on="false"/>
                  <v:stroke color="#3465a4" joinstyle="round" endcap="flat"/>
                  <w10:wrap type="none"/>
                </v:shape>
                <v:line id="shape_0" from="8667,15104" to="8667,15369" ID="Line 49" stroked="t" o:allowincell="f" style="position:absolute;mso-position-horizontal-relative:page;mso-position-vertical-relative:page">
                  <v:stroke color="black" weight="12600" joinstyle="round" endcap="flat"/>
                  <v:fill o:detectmouseclick="t" on="false"/>
                  <w10:wrap type="none"/>
                </v:line>
                <v:line id="shape_0" from="8950,15104" to="8950,15369" ID="Line 50" stroked="t" o:allowincell="f" style="position:absolute;mso-position-horizontal-relative:page;mso-position-vertical-relative:page">
                  <v:stroke color="black" weight="12600" joinstyle="round" endcap="flat"/>
                  <v:fill o:detectmouseclick="t" on="false"/>
                  <w10:wrap type="none"/>
                </v:line>
                <v:shape id="shape_0" ID="Rectangle 51" stroked="f" o:allowincell="f" style="position:absolute;left:8428;top:15515;width:2909;height:633;mso-wrap-style:square;v-text-anchor:top;mso-position-horizontal-relative:page;mso-position-vertical-relative:page" type="_x0000_t202">
                  <v:textbox>
                    <w:txbxContent>
                      <w:p>
                        <w:pPr>
                          <w:overflowPunct w:val="false"/>
                          <w:spacing w:lineRule="auto" w:line="240"/>
                          <w:jc w:val="center"/>
                          <w:rPr/>
                        </w:pPr>
                        <w:r>
                          <w:rPr>
                            <w:szCs w:val="20"/>
                            <w:sz w:val="24"/>
                            <w:rFonts w:ascii="Arial" w:hAnsi="Arial" w:eastAsia="" w:cs="Arial"/>
                            <w:lang w:eastAsia="ru-RU"/>
                          </w:rPr>
                          <w:t>ОГУ им. И.С. Тургенева,</w:t>
                        </w:r>
                      </w:p>
                      <w:p>
                        <w:pPr>
                          <w:overflowPunct w:val="false"/>
                          <w:spacing w:lineRule="auto" w:line="240"/>
                          <w:jc w:val="center"/>
                          <w:rPr/>
                        </w:pPr>
                        <w:r>
                          <w:rPr>
                            <w:szCs w:val="20"/>
                            <w:sz w:val="24"/>
                            <w:rFonts w:ascii="Arial" w:hAnsi="Arial" w:eastAsia="" w:cs="Arial"/>
                            <w:lang w:eastAsia="ru-RU"/>
                          </w:rPr>
                          <w:t xml:space="preserve"> ИПАИТ, 41КЭ-м, 2025</w:t>
                        </w:r>
                      </w:p>
                      <w:p>
                        <w:pPr>
                          <w:overflowPunct w:val="false"/>
                          <w:spacing w:lineRule="auto" w:line="240"/>
                          <w:jc w:val="center"/>
                          <w:rPr/>
                        </w:pPr>
                        <w:r>
                          <w:rPr>
                            <w:sz w:val="28"/>
                            <w:szCs w:val="20"/>
                            <w:rFonts w:ascii="ISOCPEUR" w:hAnsi="ISOCPEUR" w:eastAsia="Noto Serif CJK SC" w:cs="Noto Sans Devanagari"/>
                            <w:lang w:eastAsia="ru-RU"/>
                          </w:rPr>
                        </w:r>
                      </w:p>
                    </w:txbxContent>
                  </v:textbox>
                  <v:fill o:detectmouseclick="t" on="false"/>
                  <v:stroke color="#3465a4" joinstyle="round" endcap="flat"/>
                  <w10:wrap type="none"/>
                </v:shape>
              </v:group>
            </w:pict>
          </mc:Fallback>
        </mc:AlternateContent>
      </w:r>
      <w:r>
        <w:rPr>
          <w:rFonts w:eastAsia="Calibri" w:ascii="Times New Roman" w:hAnsi="Times New Roman"/>
          <w:sz w:val="28"/>
          <w:szCs w:val="28"/>
          <w:lang w:val="en-US" w:eastAsia="en-US"/>
        </w:rPr>
        <w:t>.</w:t>
      </w:r>
    </w:p>
    <w:p>
      <w:pPr>
        <w:pStyle w:val="Normal"/>
        <w:suppressAutoHyphens w:val="false"/>
        <w:spacing w:lineRule="auto" w:line="259" w:before="0" w:after="160"/>
        <w:ind w:hanging="0"/>
        <w:jc w:val="start"/>
        <w:rPr>
          <w:rFonts w:ascii="Times New Roman" w:hAnsi="Times New Roman" w:eastAsia="Calibri"/>
          <w:b/>
          <w:bCs/>
          <w:sz w:val="28"/>
          <w:szCs w:val="28"/>
          <w:lang w:val="en-US" w:eastAsia="en-US"/>
        </w:rPr>
      </w:pPr>
      <w:r>
        <w:rPr>
          <w:rFonts w:eastAsia="Calibri" w:ascii="Times New Roman" w:hAnsi="Times New Roman"/>
          <w:b/>
          <w:bCs/>
          <w:sz w:val="28"/>
          <w:szCs w:val="28"/>
          <w:lang w:val="en-US" w:eastAsia="en-US"/>
        </w:rPr>
      </w:r>
      <w:r>
        <w:br w:type="page"/>
      </w:r>
    </w:p>
    <w:p>
      <w:pPr>
        <w:pStyle w:val="Normal"/>
        <w:suppressAutoHyphens w:val="false"/>
        <w:spacing w:before="0" w:after="0"/>
        <w:ind w:hanging="0"/>
        <w:jc w:val="center"/>
        <w:rPr>
          <w:rFonts w:ascii="Times New Roman" w:hAnsi="Times New Roman" w:eastAsia="Calibri"/>
          <w:b/>
          <w:sz w:val="28"/>
          <w:szCs w:val="28"/>
          <w:highlight w:val="yellow"/>
          <w:lang w:val="en-US" w:eastAsia="en-US"/>
        </w:rPr>
      </w:pPr>
      <w:r>
        <w:rPr>
          <w:rFonts w:eastAsia="Calibri" w:ascii="Times New Roman" w:hAnsi="Times New Roman"/>
          <w:b/>
          <w:sz w:val="28"/>
          <w:szCs w:val="28"/>
          <w:highlight w:val="yellow"/>
          <w:lang w:val="en-US" w:eastAsia="en-US"/>
        </w:rPr>
        <w:t>ANNOTATION</w:t>
      </w:r>
    </w:p>
    <w:p>
      <w:pPr>
        <w:pStyle w:val="Normal"/>
        <w:suppressAutoHyphens w:val="false"/>
        <w:spacing w:lineRule="auto" w:line="259" w:before="0" w:after="160"/>
        <w:ind w:hanging="0"/>
        <w:jc w:val="start"/>
        <w:rPr>
          <w:rFonts w:ascii="Times New Roman" w:hAnsi="Times New Roman" w:eastAsia="Calibri"/>
          <w:b/>
          <w:sz w:val="28"/>
          <w:szCs w:val="28"/>
          <w:lang w:val="en-US" w:eastAsia="en-US"/>
        </w:rPr>
      </w:pPr>
      <w:r>
        <w:rPr>
          <w:rFonts w:eastAsia="Calibri" w:ascii="Times New Roman" w:hAnsi="Times New Roman"/>
          <w:b/>
          <w:sz w:val="28"/>
          <w:szCs w:val="28"/>
          <w:lang w:val="en-US" w:eastAsia="en-US"/>
        </w:rPr>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The topic of the final qualification work is </w:t>
      </w:r>
      <w:r>
        <w:rPr>
          <w:rFonts w:eastAsia="Calibri" w:ascii="Times New Roman" w:hAnsi="Times New Roman"/>
          <w:color w:val="000000"/>
          <w:sz w:val="28"/>
          <w:szCs w:val="28"/>
          <w:highlight w:val="yellow"/>
          <w:lang w:val="en-US" w:eastAsia="en-US"/>
        </w:rPr>
        <w:t>the development and optimization of antennas for mobile devices</w:t>
      </w:r>
      <w:r>
        <w:rPr>
          <w:rFonts w:eastAsia="Calibri" w:ascii="Times New Roman" w:hAnsi="Times New Roman"/>
          <w:color w:val="000000"/>
          <w:sz w:val="28"/>
          <w:szCs w:val="28"/>
          <w:lang w:val="en-US" w:eastAsia="en-US"/>
        </w:rPr>
        <w:t>.</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 </w:t>
      </w:r>
      <w:r>
        <w:rPr>
          <w:rFonts w:eastAsia="Calibri" w:ascii="Times New Roman" w:hAnsi="Times New Roman"/>
          <w:color w:val="000000"/>
          <w:sz w:val="28"/>
          <w:szCs w:val="28"/>
          <w:lang w:val="en-US" w:eastAsia="en-US"/>
        </w:rPr>
        <w:t xml:space="preserve">The year of defense is 2026 </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The final qualification work was completed by the student: </w:t>
      </w:r>
      <w:r>
        <w:rPr>
          <w:rFonts w:eastAsia="Calibri" w:ascii="Times New Roman" w:hAnsi="Times New Roman"/>
          <w:color w:val="000000"/>
          <w:sz w:val="28"/>
          <w:szCs w:val="28"/>
          <w:highlight w:val="yellow"/>
          <w:lang w:val="en-US" w:eastAsia="en-US"/>
        </w:rPr>
        <w:t>I.V. Yaremchuk</w:t>
      </w:r>
      <w:r>
        <w:rPr>
          <w:rFonts w:eastAsia="Calibri" w:ascii="Times New Roman" w:hAnsi="Times New Roman"/>
          <w:color w:val="000000"/>
          <w:sz w:val="28"/>
          <w:szCs w:val="28"/>
          <w:lang w:val="en-US" w:eastAsia="en-US"/>
        </w:rPr>
        <w:t xml:space="preserve">. </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The supervisor of the final qualification work is </w:t>
      </w:r>
      <w:r>
        <w:rPr>
          <w:rFonts w:eastAsia="Calibri" w:ascii="Times New Roman" w:hAnsi="Times New Roman"/>
          <w:color w:val="000000"/>
          <w:sz w:val="28"/>
          <w:szCs w:val="28"/>
          <w:highlight w:val="yellow"/>
          <w:lang w:val="en-US" w:eastAsia="en-US"/>
        </w:rPr>
        <w:t>O.A. Voronina</w:t>
      </w:r>
      <w:r>
        <w:rPr>
          <w:rFonts w:eastAsia="Calibri" w:ascii="Times New Roman" w:hAnsi="Times New Roman"/>
          <w:color w:val="000000"/>
          <w:sz w:val="28"/>
          <w:szCs w:val="28"/>
          <w:lang w:val="en-US" w:eastAsia="en-US"/>
        </w:rPr>
        <w:t xml:space="preserve">. </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The final qualification work is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pages long, includes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figures,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tables,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applications, and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references. </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The work consists of 3 sections.</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 </w:t>
      </w:r>
      <w:r>
        <w:rPr>
          <w:rFonts w:eastAsia="Calibri" w:ascii="Times New Roman" w:hAnsi="Times New Roman"/>
          <w:color w:val="000000"/>
          <w:sz w:val="28"/>
          <w:szCs w:val="28"/>
          <w:lang w:val="en-US" w:eastAsia="en-US"/>
        </w:rPr>
        <w:t xml:space="preserve">The analytical section contains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The research section includes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 xml:space="preserve">The practical section consists of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 xml:space="preserve">. </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t>Keywords:</w:t>
      </w:r>
      <w:r>
        <w:rPr>
          <w:rFonts w:eastAsia="Calibri" w:ascii="Times New Roman" w:hAnsi="Times New Roman"/>
          <w:color w:val="000000"/>
          <w:sz w:val="28"/>
          <w:szCs w:val="28"/>
          <w:lang w:eastAsia="en-US"/>
        </w:rPr>
        <w:t xml:space="preserve"> </w:t>
      </w:r>
      <w:r>
        <w:rPr>
          <w:rFonts w:eastAsia="Calibri" w:ascii="Times New Roman" w:hAnsi="Times New Roman"/>
          <w:color w:val="000000"/>
          <w:sz w:val="28"/>
          <w:szCs w:val="28"/>
          <w:highlight w:val="yellow"/>
          <w:lang w:val="en-US" w:eastAsia="en-US"/>
        </w:rPr>
        <w:t>???</w:t>
      </w:r>
      <w:r>
        <w:rPr>
          <w:rFonts w:eastAsia="Calibri" w:ascii="Times New Roman" w:hAnsi="Times New Roman"/>
          <w:color w:val="000000"/>
          <w:sz w:val="28"/>
          <w:szCs w:val="28"/>
          <w:lang w:val="en-US" w:eastAsia="en-US"/>
        </w:rPr>
        <w:t>.</w:t>
      </w:r>
    </w:p>
    <w:p>
      <w:p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r>
    </w:p>
    <w:p>
      <w:pPr>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701" w:right="850" w:gutter="0" w:header="708" w:top="1134" w:footer="708" w:bottom="1134"/>
          <w:pgNumType w:fmt="decimal"/>
          <w:formProt w:val="false"/>
          <w:titlePg/>
          <w:textDirection w:val="lrTb"/>
          <w:docGrid w:type="default" w:linePitch="360" w:charSpace="0"/>
        </w:sectPr>
        <w:pStyle w:val="Normal"/>
        <w:suppressAutoHyphens w:val="false"/>
        <w:rPr>
          <w:rFonts w:ascii="Times New Roman" w:hAnsi="Times New Roman" w:eastAsia="Calibri"/>
          <w:color w:val="000000"/>
          <w:sz w:val="28"/>
          <w:szCs w:val="28"/>
          <w:lang w:val="en-US" w:eastAsia="en-US"/>
        </w:rPr>
      </w:pPr>
      <w:r>
        <w:rPr>
          <w:rFonts w:eastAsia="Calibri" w:ascii="Times New Roman" w:hAnsi="Times New Roman"/>
          <w:color w:val="000000"/>
          <w:sz w:val="28"/>
          <w:szCs w:val="28"/>
          <w:lang w:val="en-US" w:eastAsia="en-US"/>
        </w:rPr>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1.4 Критерии и метрики сравнения методов</w:t>
              <w:tab/>
              <w:t>13</w:t>
            </w:r>
          </w:hyperlink>
        </w:p>
        <w:p>
          <w:pPr>
            <w:pStyle w:val="TOC2"/>
            <w:tabs>
              <w:tab w:val="clear" w:pos="9072"/>
              <w:tab w:val="right" w:pos="9354" w:leader="dot"/>
            </w:tabs>
            <w:rPr/>
          </w:pPr>
          <w:hyperlink w:anchor="__RefHeading___Toc2378_3476232239">
            <w:r>
              <w:rPr>
                <w:webHidden/>
                <w:rStyle w:val="IndexLink"/>
                <w:vanish w:val="false"/>
              </w:rPr>
              <w:t>1.5 Существующие подходы к измерению параметров сигналов</w:t>
              <w:tab/>
              <w:t>16</w:t>
            </w:r>
          </w:hyperlink>
        </w:p>
        <w:p>
          <w:pPr>
            <w:pStyle w:val="TOC2"/>
            <w:tabs>
              <w:tab w:val="clear" w:pos="9072"/>
              <w:tab w:val="right" w:pos="9354" w:leader="dot"/>
            </w:tabs>
            <w:rPr/>
          </w:pPr>
          <w:hyperlink w:anchor="__RefHeading___Toc2380_3476232239">
            <w:r>
              <w:rPr>
                <w:webHidden/>
                <w:rStyle w:val="IndexLink"/>
                <w:vanish w:val="false"/>
              </w:rPr>
              <w:t>1.6 Сравнительный анализ существующих методов определения параметров периодических сигналов</w:t>
              <w:tab/>
              <w:t>21</w:t>
            </w:r>
          </w:hyperlink>
        </w:p>
        <w:p>
          <w:pPr>
            <w:pStyle w:val="TOC2"/>
            <w:tabs>
              <w:tab w:val="clear" w:pos="9072"/>
              <w:tab w:val="right" w:pos="9354" w:leader="dot"/>
            </w:tabs>
            <w:rPr/>
          </w:pPr>
          <w:hyperlink w:anchor="__RefHeading___Toc2382_3476232239">
            <w:r>
              <w:rPr>
                <w:webHidden/>
                <w:rStyle w:val="IndexLink"/>
                <w:vanish w:val="false"/>
              </w:rPr>
              <w:t>1.7 Патентный поиск и обзор аналогичных решений</w:t>
              <w:tab/>
              <w:t>24</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28</w:t>
            </w:r>
          </w:hyperlink>
        </w:p>
        <w:p>
          <w:pPr>
            <w:pStyle w:val="TOC2"/>
            <w:tabs>
              <w:tab w:val="clear" w:pos="9072"/>
              <w:tab w:val="right" w:pos="9354" w:leader="dot"/>
            </w:tabs>
            <w:rPr/>
          </w:pPr>
          <w:hyperlink w:anchor="__RefHeading___Toc2113_3500123358">
            <w:r>
              <w:rPr>
                <w:webHidden/>
                <w:rStyle w:val="IndexLink"/>
                <w:vanish w:val="false"/>
              </w:rPr>
              <w:t>2.1 Постановка задачи разработки устройства</w:t>
              <w:tab/>
              <w:t>28</w:t>
            </w:r>
          </w:hyperlink>
        </w:p>
        <w:p>
          <w:pPr>
            <w:pStyle w:val="TOC2"/>
            <w:tabs>
              <w:tab w:val="clear" w:pos="9072"/>
              <w:tab w:val="right" w:pos="9354" w:leader="dot"/>
            </w:tabs>
            <w:rPr/>
          </w:pPr>
          <w:hyperlink w:anchor="__RefHeading___Toc2115_3500123358">
            <w:r>
              <w:rPr>
                <w:webHidden/>
                <w:rStyle w:val="IndexLink"/>
                <w:vanish w:val="false"/>
              </w:rPr>
              <w:t>2.2 Реализация устройства на основе аналоговой предварительной обработки сигнала</w:t>
              <w:tab/>
              <w:t>31</w:t>
            </w:r>
          </w:hyperlink>
        </w:p>
        <w:p>
          <w:pPr>
            <w:pStyle w:val="TOC2"/>
            <w:tabs>
              <w:tab w:val="clear" w:pos="9072"/>
              <w:tab w:val="right" w:pos="9354" w:leader="dot"/>
            </w:tabs>
            <w:rPr/>
          </w:pPr>
          <w:hyperlink w:anchor="__RefHeading___Toc2117_3500123358">
            <w:r>
              <w:rPr>
                <w:webHidden/>
                <w:rStyle w:val="IndexLink"/>
                <w:vanish w:val="false"/>
              </w:rPr>
              <w:t>2.3 Реализация устройства на основе полной оцифровки сигнала</w:t>
              <w:tab/>
              <w:t>34</w:t>
            </w:r>
          </w:hyperlink>
        </w:p>
        <w:p>
          <w:pPr>
            <w:pStyle w:val="TOC2"/>
            <w:tabs>
              <w:tab w:val="clear" w:pos="9072"/>
              <w:tab w:val="right" w:pos="9354" w:leader="dot"/>
            </w:tabs>
            <w:rPr/>
          </w:pPr>
          <w:hyperlink w:anchor="__RefHeading___Toc2119_3500123358">
            <w:r>
              <w:rPr>
                <w:webHidden/>
                <w:rStyle w:val="IndexLink"/>
                <w:vanish w:val="false"/>
              </w:rPr>
              <w:t>2.4 Выбор метода обработки оцифрованного сигнала</w:t>
              <w:tab/>
              <w:t>38</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42</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43</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44</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45</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48</w:t>
            </w:r>
          </w:hyperlink>
        </w:p>
        <w:p>
          <w:pPr>
            <w:pStyle w:val="TOC1"/>
            <w:tabs>
              <w:tab w:val="clear" w:pos="9345"/>
              <w:tab w:val="right" w:pos="9354" w:leader="dot"/>
            </w:tabs>
            <w:rPr/>
          </w:pPr>
          <w:hyperlink w:anchor="__RefHeading___Toc229529026">
            <w:r>
              <w:rPr>
                <w:webHidden/>
                <w:rStyle w:val="IndexLink"/>
                <w:vanish w:val="false"/>
              </w:rPr>
              <w:t>ПРИЛОЖЕНИЯ</w:t>
              <w:tab/>
              <w:t>51</w:t>
            </w:r>
          </w:hyperlink>
        </w:p>
        <w:p>
          <w:pPr>
            <w:pStyle w:val="Normal"/>
            <w:tabs>
              <w:tab w:val="clear" w:pos="708"/>
              <w:tab w:val="right" w:pos="9354" w:leader="dot"/>
            </w:tabs>
            <w:ind w:hanging="0"/>
            <w:rPr>
              <w:vanish w:val="false"/>
            </w:rPr>
          </w:pPr>
          <w:r>
            <w:rPr/>
          </w:r>
          <w:r>
            <w:rPr/>
            <w:fldChar w:fldCharType="end"/>
          </w:r>
        </w:p>
      </w:sdtContent>
    </w:sdt>
    <w:p>
      <w:pPr>
        <w:pStyle w:val="BodyText"/>
        <w:widowControl w:val="false"/>
        <w:numPr>
          <w:ilvl w:val="0"/>
          <w:numId w:val="0"/>
        </w:numPr>
        <w:suppressAutoHyphens w:val="true"/>
        <w:spacing w:lineRule="auto" w:line="360"/>
        <w:ind w:firstLine="709"/>
        <w:jc w:val="both"/>
        <w:rPr/>
      </w:pPr>
      <w:r>
        <w:rPr/>
      </w:r>
    </w:p>
    <w:p>
      <w:pPr>
        <w:pStyle w:val="BodyText"/>
        <w:widowControl w:val="false"/>
        <w:numPr>
          <w:ilvl w:val="0"/>
          <w:numId w:val="0"/>
        </w:numPr>
        <w:suppressAutoHyphens w:val="true"/>
        <w:spacing w:lineRule="auto" w:line="360"/>
        <w:ind w:firstLine="709"/>
        <w:jc w:val="both"/>
        <w:rPr/>
      </w:pPr>
      <w:r>
        <w:rPr/>
      </w:r>
      <w:r>
        <w:br w:type="page"/>
      </w:r>
    </w:p>
    <w:p>
      <w:pPr>
        <w:pStyle w:val="Heading1"/>
        <w:numPr>
          <w:ilvl w:val="0"/>
          <w:numId w:val="1"/>
        </w:numPr>
        <w:ind w:firstLine="709"/>
        <w:rPr/>
      </w:pPr>
      <w:bookmarkStart w:id="3" w:name="__RefHeading___Toc229529021"/>
      <w:bookmarkEnd w:id="3"/>
      <w:r>
        <w:rPr/>
        <w:t>ВЕДЕНИЕ</w:t>
      </w:r>
    </w:p>
    <w:p>
      <w:pPr>
        <w:pStyle w:val="BodyText"/>
        <w:rPr/>
      </w:pPr>
      <w:r>
        <w:rPr/>
      </w:r>
    </w:p>
    <w:p>
      <w:pPr>
        <w:pStyle w:val="BodyText"/>
        <w:rPr/>
      </w:pPr>
      <w:r>
        <w:rPr>
          <w:lang w:eastAsia="ru-RU"/>
        </w:rPr>
        <w:t>Актуальность темы исследования обусловлена необходимостью измерения параметров периодических электрических сигналов в составе современных радиоэлектронных устройств и испытательных комплексов. При проведении исследований и испытаний электронных компонентов часто требуется автоматизированное определение характеристик сигналов без участия оператора и без использования дорогостоящего лабораторного оборудования. При этом измерения должны выполняться с достаточной точностью в условиях воздействия различных помех и шумов.</w:t>
      </w:r>
    </w:p>
    <w:p>
      <w:pPr>
        <w:pStyle w:val="BodyText"/>
        <w:rPr/>
      </w:pPr>
      <w:r>
        <w:rPr>
          <w:lang w:eastAsia="ru-RU"/>
        </w:rPr>
        <w:t>Особую актуальность данная задача приобретает при разработке специализированных испытательных стендов, предназначенных для контроля параметров электронных устройств на этапах разработки и испытаний. В таких системах требуется не только получение значений амплитуды и частоты сигнала, но и возможность оперативного изменения алгоритмов обработки в случае изменения требований к измеряемым параметрам.</w:t>
      </w:r>
    </w:p>
    <w:p>
      <w:pPr>
        <w:pStyle w:val="BodyText"/>
        <w:rPr/>
      </w:pPr>
      <w:r>
        <w:rPr>
          <w:lang w:eastAsia="ru-RU"/>
        </w:rPr>
        <w:t>Данная выпускная квалификационная работа посвящена разработке устройства измерения параметров периодических сигналов на основе высокоскоростного аналого-цифрового преобразователя и микроконтроллера с последующей цифровой обработкой полученных данных.</w:t>
      </w:r>
    </w:p>
    <w:p>
      <w:pPr>
        <w:pStyle w:val="BodyText"/>
        <w:rPr/>
      </w:pPr>
      <w:r>
        <w:rPr>
          <w:lang w:eastAsia="ru-RU"/>
        </w:rPr>
        <w:t>Объектом исследования являются периодические электрические сигналы в условиях воздействия помех.</w:t>
      </w:r>
    </w:p>
    <w:p>
      <w:pPr>
        <w:pStyle w:val="BodyText"/>
        <w:rPr/>
      </w:pPr>
      <w:r>
        <w:rPr>
          <w:lang w:eastAsia="ru-RU"/>
        </w:rPr>
        <w:t>Предмет исследования — программно-аппаратные методы измерения параметров периодических сигналов.</w:t>
      </w:r>
    </w:p>
    <w:p>
      <w:pPr>
        <w:pStyle w:val="BodyText"/>
        <w:rPr/>
      </w:pPr>
      <w:r>
        <w:rPr>
          <w:lang w:eastAsia="ru-RU"/>
        </w:rPr>
        <w:t>Целью работы является создание устройства измерения параметров периодических сигналов, обеспечивающего заданную точность определения амплитуды и частоты в условиях воздействия помех.</w:t>
      </w:r>
    </w:p>
    <w:p>
      <w:pPr>
        <w:pStyle w:val="BodyText"/>
        <w:rPr/>
      </w:pPr>
      <w:r>
        <w:rPr>
          <w:lang w:eastAsia="ru-RU"/>
        </w:rPr>
        <w:t>Для достижения поставленной цели были решены следующие задачи:</w:t>
      </w:r>
    </w:p>
    <w:p>
      <w:pPr>
        <w:pStyle w:val="BodyText"/>
        <w:rPr/>
      </w:pPr>
      <w:r>
        <w:rPr>
          <w:lang w:eastAsia="ru-RU"/>
        </w:rPr>
        <w:t xml:space="preserve">– </w:t>
      </w:r>
      <w:r>
        <w:rPr>
          <w:lang w:eastAsia="ru-RU"/>
        </w:rPr>
        <w:t>прове</w:t>
      </w:r>
      <w:r>
        <w:rPr>
          <w:lang w:eastAsia="ru-RU"/>
        </w:rPr>
        <w:t>де</w:t>
      </w:r>
      <w:r>
        <w:rPr>
          <w:lang w:eastAsia="ru-RU"/>
        </w:rPr>
        <w:t>н анализ периодических сигналов, их основных параметров и факторов, влияющих на точность измерений;</w:t>
      </w:r>
    </w:p>
    <w:p>
      <w:pPr>
        <w:pStyle w:val="BodyText"/>
        <w:rPr/>
      </w:pPr>
      <w:r>
        <w:rPr>
          <w:lang w:eastAsia="ru-RU"/>
        </w:rPr>
        <w:t xml:space="preserve">– </w:t>
      </w:r>
      <w:r>
        <w:rPr>
          <w:lang w:eastAsia="ru-RU"/>
        </w:rPr>
        <w:t>выполнен обзор существующих методов измерения параметров периодических сигналов, а также анализ их достоинств и недостатков;</w:t>
      </w:r>
    </w:p>
    <w:p>
      <w:pPr>
        <w:pStyle w:val="BodyText"/>
        <w:rPr/>
      </w:pPr>
      <w:r>
        <w:rPr>
          <w:lang w:eastAsia="ru-RU"/>
        </w:rPr>
        <w:t xml:space="preserve">– </w:t>
      </w:r>
      <w:r>
        <w:rPr>
          <w:lang w:eastAsia="ru-RU"/>
        </w:rPr>
        <w:t>проведен патентный поиск и анализ существующих технических решений;</w:t>
      </w:r>
    </w:p>
    <w:p>
      <w:pPr>
        <w:pStyle w:val="BodyText"/>
        <w:rPr/>
      </w:pPr>
      <w:r>
        <w:rPr>
          <w:lang w:eastAsia="ru-RU"/>
        </w:rPr>
        <w:t xml:space="preserve">– </w:t>
      </w:r>
      <w:r>
        <w:rPr>
          <w:lang w:eastAsia="ru-RU"/>
        </w:rPr>
        <w:t>сформированы требования к разрабатываемому устройству;</w:t>
      </w:r>
    </w:p>
    <w:p>
      <w:pPr>
        <w:pStyle w:val="BodyText"/>
        <w:rPr/>
      </w:pPr>
      <w:r>
        <w:rPr>
          <w:lang w:eastAsia="ru-RU"/>
        </w:rPr>
        <w:t xml:space="preserve">– </w:t>
      </w:r>
      <w:r>
        <w:rPr>
          <w:lang w:eastAsia="ru-RU"/>
        </w:rPr>
        <w:t>выполнен выбор метода измерения параметров сигнала и алгоритмов обработки данных;</w:t>
      </w:r>
    </w:p>
    <w:p>
      <w:pPr>
        <w:pStyle w:val="BodyText"/>
        <w:rPr/>
      </w:pPr>
      <w:r>
        <w:rPr>
          <w:lang w:eastAsia="ru-RU"/>
        </w:rPr>
        <w:t xml:space="preserve">– </w:t>
      </w:r>
      <w:r>
        <w:rPr>
          <w:lang w:eastAsia="ru-RU"/>
        </w:rPr>
        <w:t>разработаны структурная и электрическая принципиальная схемы устройства;</w:t>
      </w:r>
    </w:p>
    <w:p>
      <w:pPr>
        <w:pStyle w:val="BodyText"/>
        <w:rPr/>
      </w:pPr>
      <w:r>
        <w:rPr>
          <w:lang w:eastAsia="ru-RU"/>
        </w:rPr>
        <w:t xml:space="preserve">– </w:t>
      </w:r>
      <w:r>
        <w:rPr>
          <w:lang w:eastAsia="ru-RU"/>
        </w:rPr>
        <w:t>выполнен выбор элементной базы и проведена оценка энергетических характеристик устройства;</w:t>
      </w:r>
    </w:p>
    <w:p>
      <w:pPr>
        <w:pStyle w:val="BodyText"/>
        <w:rPr/>
      </w:pPr>
      <w:r>
        <w:rPr>
          <w:lang w:eastAsia="ru-RU"/>
        </w:rPr>
        <w:t xml:space="preserve">– </w:t>
      </w:r>
      <w:r>
        <w:rPr>
          <w:lang w:eastAsia="ru-RU"/>
        </w:rPr>
        <w:t>разработано программное обеспечение для сбора и обработки данных;</w:t>
      </w:r>
    </w:p>
    <w:p>
      <w:pPr>
        <w:pStyle w:val="BodyText"/>
        <w:rPr/>
      </w:pPr>
      <w:r>
        <w:rPr>
          <w:lang w:eastAsia="ru-RU"/>
        </w:rPr>
        <w:t xml:space="preserve">– </w:t>
      </w:r>
      <w:r>
        <w:rPr>
          <w:lang w:eastAsia="ru-RU"/>
        </w:rPr>
        <w:t>изготовлен и исследован макетный образец устройства;</w:t>
      </w:r>
    </w:p>
    <w:p>
      <w:pPr>
        <w:pStyle w:val="BodyText"/>
        <w:rPr/>
      </w:pPr>
      <w:r>
        <w:rPr>
          <w:lang w:eastAsia="ru-RU"/>
        </w:rPr>
        <w:t xml:space="preserve">– </w:t>
      </w:r>
      <w:r>
        <w:rPr>
          <w:lang w:eastAsia="ru-RU"/>
        </w:rPr>
        <w:t>проведена экспериментальная проверка работоспособности разработанного решения и выполнен анализ полученных результатов.</w:t>
      </w:r>
    </w:p>
    <w:p>
      <w:pPr>
        <w:pStyle w:val="BodyText"/>
        <w:rPr/>
      </w:pPr>
      <w:r>
        <w:rPr>
          <w:lang w:eastAsia="ru-RU"/>
        </w:rPr>
        <w:t>Для решения поставленных задач применялись методы цифровой обработки сигналов, методы статистической обработки результатов измерений, методы схемотехнического проектирования аналоговых и цифровых устройств, а также экспериментальные методы исследования электронных средств.</w:t>
      </w:r>
    </w:p>
    <w:p>
      <w:pPr>
        <w:pStyle w:val="BodyText"/>
        <w:rPr/>
      </w:pPr>
      <w:r>
        <w:rPr>
          <w:lang w:eastAsia="ru-RU"/>
        </w:rPr>
        <w:t>Под помехами в рамках данной работы понимаются аддитивный белый шум и индустриальные электромагнитные помехи промышленной частоты 50 Гц и ее гармоник.</w:t>
      </w:r>
    </w:p>
    <w:p>
      <w:pPr>
        <w:pStyle w:val="BodyText"/>
        <w:rPr/>
      </w:pPr>
      <w:r>
        <w:rPr>
          <w:lang w:eastAsia="ru-RU"/>
        </w:rPr>
        <w:t>Научная новизна работы заключается в применении комплексного подхода к измерению параметров периодических сигналов, основанного на совместном использовании аппаратной фильтрации, цифровой фильтрации и последующей статистической обработки результатов измерений.</w:t>
      </w:r>
    </w:p>
    <w:p>
      <w:pPr>
        <w:pStyle w:val="BodyText"/>
        <w:rPr/>
      </w:pPr>
      <w:r>
        <w:rPr>
          <w:lang w:eastAsia="ru-RU"/>
        </w:rPr>
        <w:t>Практическая ценность работы состоит в разработке устройства, позволяющего выполнять автоматизированное измерение амплитуды и частоты периодических сигналов в составе испытательных комплексов и специализированных измерительных систем без применения дорогостоящего лабораторного оборудования.</w:t>
      </w:r>
      <w:r>
        <w:br w:type="page"/>
      </w:r>
    </w:p>
    <w:p>
      <w:pPr>
        <w:pStyle w:val="Heading1"/>
        <w:numPr>
          <w:ilvl w:val="0"/>
          <w:numId w:val="1"/>
        </w:numPr>
        <w:spacing w:before="0" w:after="0"/>
        <w:ind w:firstLine="709"/>
        <w:rPr/>
      </w:pPr>
      <w:bookmarkStart w:id="4" w:name="__RefHeading___Toc229529022"/>
      <w:bookmarkEnd w:id="4"/>
      <w:r>
        <w:rPr/>
        <w:t>1. АНАЛИЗ СОСТОЯНИЯ ПРОБЛЕМЫ</w:t>
      </w:r>
    </w:p>
    <w:p>
      <w:pPr>
        <w:pStyle w:val="BodyText"/>
        <w:rPr/>
      </w:pPr>
      <w:r>
        <w:rPr/>
      </w:r>
    </w:p>
    <w:p>
      <w:pPr>
        <w:pStyle w:val="BodyText"/>
        <w:rPr/>
      </w:pPr>
      <w:r>
        <w:rPr/>
        <w:t>Глава 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pPr>
      <w:r>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pPr>
      <w:r>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pPr>
      <w:r>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pPr>
      <w:r>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BodyText"/>
        <w:rPr/>
      </w:pPr>
      <w:r>
        <w:rPr/>
      </w:r>
    </w:p>
    <w:p>
      <w:pPr>
        <w:pStyle w:val="Heading2"/>
        <w:rPr/>
      </w:pPr>
      <w:bookmarkStart w:id="5" w:name="__RefHeading___Toc2155_1929968905"/>
      <w:bookmarkEnd w:id="5"/>
      <w:r>
        <w:rPr/>
        <w:t>1.1 Периодические сигналы: определение и значение</w:t>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 xml:space="preserve">при любом t </w:t>
      </w:r>
      <w:r>
        <w:rPr>
          <w:rStyle w:val="Hyperlink"/>
          <w:color w:val="auto"/>
          <w:u w:val="none"/>
        </w:rPr>
        <w:t>[8]</w:t>
      </w:r>
      <w:r>
        <w:rPr/>
        <w:t xml:space="preserve">. Простейшая форма – гармоническое (синусоидальное) колебание с амплитудой A и частотой f=1/T. Сумма гармоник различной кратности основной частоты порождает сложные периодические волны (например, меандр, треугольник). </w:t>
      </w:r>
      <w:r>
        <w:rPr>
          <w:i/>
          <w:iCs/>
        </w:rPr>
        <w:t>Фурье-преобразование</w:t>
      </w:r>
      <w:r>
        <w:rPr/>
        <w:t xml:space="preserve"> позволяет разложить любой периодический сигнал в ряд синусоид с частотами n/T </w:t>
      </w:r>
      <w:r>
        <w:rPr>
          <w:rStyle w:val="Hyperlink"/>
          <w:color w:val="auto"/>
          <w:u w:val="none"/>
        </w:rPr>
        <w:t>[9]</w:t>
      </w:r>
      <w:r>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являются фундаментальной основой практически всех электро</w:t>
        <w:softHyphen/>
        <w:t xml:space="preserve">технических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для систем связи, радиолокации, измерительной техники, медицинской аппаратуры и промышленного оборудования. Например, в системах 5G/6G требуются сверхчистые (низко шумовые) несущие сигналы с высокой стабильностью и точностью </w:t>
      </w:r>
      <w:r>
        <w:rPr>
          <w:rStyle w:val="Hyperlink"/>
          <w:color w:val="auto"/>
          <w:u w:val="none"/>
        </w:rPr>
        <w:t>[10]</w:t>
      </w:r>
      <w:r>
        <w:rPr/>
        <w:t>,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pPr>
      <w:bookmarkStart w:id="6" w:name="__RefHeading___Toc2157_1929968905"/>
      <w:bookmarkEnd w:id="6"/>
      <w:r>
        <w:rPr/>
        <w:t>1.2 Области применения и практическая значимость</w:t>
      </w:r>
    </w:p>
    <w:p>
      <w:pPr>
        <w:pStyle w:val="BodyText"/>
        <w:rPr/>
      </w:pPr>
      <w:r>
        <w:rPr/>
        <w:t xml:space="preserve">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амплитудой. Меандр (тактовые или синхросигналы) – прямоугольные волны – «сердце» цифровых каналов </w:t>
      </w:r>
      <w:r>
        <w:rPr>
          <w:rStyle w:val="Hyperlink"/>
          <w:color w:val="auto"/>
          <w:u w:val="none"/>
        </w:rPr>
        <w:t>[10]</w:t>
      </w:r>
      <w:r>
        <w:rPr/>
        <w:t>. Измерители параметров таких сигналов применяются в радио и оптике (проверка качества несущей, уровня модуляции, помехоустойчивости каналов).</w:t>
      </w:r>
    </w:p>
    <w:p>
      <w:pPr>
        <w:pStyle w:val="BodyText"/>
        <w:rPr/>
      </w:pPr>
      <w:r>
        <w:rPr/>
        <w:t xml:space="preserve">В области радиолокации и радионавигации зондирующие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 </w:t>
      </w:r>
      <w:r>
        <w:rPr>
          <w:rStyle w:val="Hyperlink"/>
          <w:color w:val="auto"/>
          <w:u w:val="none"/>
        </w:rPr>
        <w:t>[11]</w:t>
      </w:r>
      <w:r>
        <w:rPr/>
        <w:t>. Надежная оценка частоты/фазы сигналов обеспечивает высокую точность позиционирования в навигации.</w:t>
      </w:r>
    </w:p>
    <w:p>
      <w:pPr>
        <w:pStyle w:val="BodyText"/>
        <w:rPr/>
      </w:pPr>
      <w:r>
        <w:rPr/>
        <w:t>В медицине измерение параметров сигналов необходимо при различных исследованиях: электрокардиограмма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 xml:space="preserve">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TDS7404B </w:t>
      </w:r>
      <w:r>
        <w:rPr>
          <w:rStyle w:val="Hyperlink"/>
          <w:color w:val="auto"/>
          <w:u w:val="none"/>
        </w:rPr>
        <w:t>[12]</w:t>
      </w:r>
      <w:r>
        <w:rPr/>
        <w:t>) делает актуальной разработку компактных цифровых измерителей параметров сигнала.</w:t>
      </w:r>
    </w:p>
    <w:p>
      <w:pPr>
        <w:pStyle w:val="BodyText"/>
        <w:rPr/>
      </w:pPr>
      <w:r>
        <w:rPr/>
      </w:r>
    </w:p>
    <w:p>
      <w:pPr>
        <w:pStyle w:val="Heading2"/>
        <w:rPr/>
      </w:pPr>
      <w:bookmarkStart w:id="7" w:name="__RefHeading___Toc2159_1929968905"/>
      <w:bookmarkEnd w:id="7"/>
      <w:r>
        <w:rPr/>
        <w:t>1.3 Виды помех и их влияние на измерения</w:t>
      </w:r>
    </w:p>
    <w:p>
      <w:pPr>
        <w:pStyle w:val="BodyText"/>
        <w:rPr/>
      </w:pPr>
      <w:r>
        <w:rP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pPr>
        <w:pStyle w:val="BodyText"/>
        <w:rPr/>
      </w:pPr>
      <w:r>
        <w:rPr/>
        <w:t>Наиболее распространенным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ее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pPr>
        <w:pStyle w:val="BodyText"/>
        <w:rPr/>
      </w:pPr>
      <w:r>
        <w:rPr/>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pPr>
        <w:pStyle w:val="BodyText"/>
        <w:rPr/>
      </w:pPr>
      <w:r>
        <w:rP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pPr>
        <w:pStyle w:val="BodyText"/>
        <w:rPr/>
      </w:pPr>
      <w:r>
        <w:rP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pPr>
        <w:pStyle w:val="BodyText"/>
        <w:rPr/>
      </w:pPr>
      <w:r>
        <w:rPr/>
        <w:t>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характеризуются кратковременным, но значительным по величине воздействием.</w:t>
      </w:r>
    </w:p>
    <w:p>
      <w:pPr>
        <w:pStyle w:val="BodyText"/>
        <w:rPr/>
      </w:pPr>
      <w:r>
        <w:rP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pPr>
        <w:pStyle w:val="BodyText"/>
        <w:rPr/>
      </w:pPr>
      <w:r>
        <w:rP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pPr>
        <w:pStyle w:val="BodyText"/>
        <w:rPr/>
      </w:pPr>
      <w:r>
        <w:rP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pPr>
        <w:pStyle w:val="BodyText"/>
        <w:rPr/>
      </w:pPr>
      <w:r>
        <w:rPr/>
        <w:t>Существуют и другие разновидности шумов, например дробовой шум, возникающий вследствие дискретной природы электрического заряда, а также фликкер-шум,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pPr>
        <w:pStyle w:val="BodyText"/>
        <w:rPr/>
      </w:pPr>
      <w:r>
        <w:rP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pPr>
        <w:pStyle w:val="BodyText"/>
        <w:rPr/>
      </w:pPr>
      <w:r>
        <w:rP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pPr>
        <w:pStyle w:val="BodyText"/>
        <w:rPr/>
      </w:pPr>
      <w:r>
        <w:rPr/>
      </w:r>
    </w:p>
    <w:p>
      <w:pPr>
        <w:pStyle w:val="Heading2"/>
        <w:rPr/>
      </w:pPr>
      <w:bookmarkStart w:id="8" w:name="__RefHeading___Toc2161_1929968905"/>
      <w:bookmarkEnd w:id="8"/>
      <w:r>
        <w:rPr/>
        <w:t>1.4 Критерии и метрики сравнения методов</w:t>
      </w:r>
    </w:p>
    <w:p>
      <w:pPr>
        <w:pStyle w:val="BodyText"/>
        <w:rPr/>
      </w:pPr>
      <w:r>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pPr>
      <w:r>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pPr>
      <w:r>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pPr>
      <w:r>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pPr>
      <w:r>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pPr>
      <w:r>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еe дальнейшего развития.</w:t>
      </w:r>
    </w:p>
    <w:p>
      <w:pPr>
        <w:pStyle w:val="BodyText"/>
        <w:rPr/>
      </w:pPr>
      <w:r>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pPr>
      <w:r>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pPr>
      <w:r>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eastAsia="en-US"/>
        </w:rPr>
      </w:pPr>
      <w:r>
        <w:rPr>
          <w:lang w:eastAsia="en-US"/>
        </w:rPr>
      </w:r>
    </w:p>
    <w:p>
      <w:pPr>
        <w:pStyle w:val="Heading2"/>
        <w:rPr/>
      </w:pPr>
      <w:bookmarkStart w:id="9" w:name="__RefHeading___Toc2378_3476232239"/>
      <w:bookmarkEnd w:id="9"/>
      <w:r>
        <w:rPr/>
        <w:t>1.5 Существующие подходы к измерению параметров сигналов</w:t>
      </w:r>
    </w:p>
    <w:p>
      <w:pPr>
        <w:pStyle w:val="BodyText"/>
        <w:rPr>
          <w:lang w:eastAsia="en-US"/>
        </w:rPr>
      </w:pPr>
      <w:r>
        <w:rPr>
          <w:lang w:eastAsia="en-US"/>
        </w:rPr>
        <w:t>Задача определения параметров периодических сигналов не является новой. За длительный период развития измерительной техники было предложено большое количество методов измерения частоты, амплитуды, фазы и других характеристик сигналов. Различные методы отличаются как принципом работы, так и сложностью реализации, точностью измерений и устойчивостью к воздействию помех.</w:t>
      </w:r>
    </w:p>
    <w:p>
      <w:pPr>
        <w:pStyle w:val="BodyText"/>
        <w:rPr>
          <w:lang w:eastAsia="en-US"/>
        </w:rPr>
      </w:pPr>
      <w:r>
        <w:rPr>
          <w:lang w:eastAsia="en-US"/>
        </w:rPr>
        <w:t>Условно все существующие методы можно разделить на две большие группы: аналоговые и цифровые. Аналоговые методы появились значительно раньше и до сих пор широко применяются в устройствах, где требуется минимальная стоимость и высокая скорость обработки сигналов. Цифровые методы получили распространение благодаря развитию микроконтроллеров, цифровых сигнальных процессоров и быстродействующих аналого-цифровых преобразователей. Они обеспечивают значительно большую гибкость и позволяют реализовывать сложные алгоритмы обработки без изменения аппаратной части устройства.</w:t>
      </w:r>
    </w:p>
    <w:p>
      <w:pPr>
        <w:pStyle w:val="BodyText"/>
        <w:rPr>
          <w:lang w:eastAsia="en-US"/>
        </w:rPr>
      </w:pPr>
      <w:r>
        <w:rPr>
          <w:lang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w:t>
      </w:r>
    </w:p>
    <w:p>
      <w:pPr>
        <w:pStyle w:val="BodyText"/>
        <w:rPr>
          <w:lang w:eastAsia="en-US"/>
        </w:rPr>
      </w:pPr>
      <w:r>
        <w:rPr>
          <w:lang w:eastAsia="en-US"/>
        </w:rPr>
        <w:t>Одним из наиболее распространенных аналоговых методов является 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pPr>
        <w:pStyle w:val="BodyText"/>
        <w:rPr>
          <w:lang w:eastAsia="en-US"/>
        </w:rPr>
      </w:pPr>
      <w:r>
        <w:rPr>
          <w:lang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pPr>
        <w:pStyle w:val="BodyText"/>
        <w:rPr>
          <w:lang w:eastAsia="en-US"/>
        </w:rPr>
      </w:pPr>
      <w:r>
        <w:rPr>
          <w:lang w:eastAsia="en-US"/>
        </w:rPr>
        <w:t>Развитием идеи порогового детектирования являются цифровые частотомеры прямого счета. Принцип их работы заключается в подсчете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pPr>
        <w:pStyle w:val="Media"/>
        <w:rPr>
          <w:lang w:eastAsia="en-US"/>
        </w:rPr>
      </w:pPr>
      <w:r>
        <w:rPr/>
      </w:r>
      <m:oMath xmlns:m="http://schemas.openxmlformats.org/officeDocument/2006/math">
        <m:r>
          <m:t xml:space="preserve">f</m:t>
        </m:r>
        <m:r>
          <m:t xml:space="preserve">=</m:t>
        </m:r>
        <m:f>
          <m:num>
            <m:r>
              <m:t xml:space="preserve">N</m:t>
            </m:r>
          </m:num>
          <m:den>
            <m:sSub>
              <m:e>
                <m:r>
                  <m:t xml:space="preserve">T</m:t>
                </m:r>
              </m:e>
              <m:sub>
                <m:r>
                  <m:t xml:space="preserve">сч</m:t>
                </m:r>
              </m:sub>
            </m:sSub>
          </m:den>
        </m:f>
      </m:oMath>
      <w:r>
        <w:rPr>
          <w:lang w:eastAsia="en-US"/>
        </w:rPr>
        <w:t>,</w:t>
      </w:r>
      <w:r>
        <w:rPr/>
        <w:t xml:space="preserve"> </w:t>
      </w:r>
      <w:r>
        <w:rPr>
          <w:lang w:eastAsia="en-US"/>
        </w:rPr>
        <w:t>где</w:t>
      </w:r>
    </w:p>
    <w:p>
      <w:pPr>
        <w:pStyle w:val="BodyText"/>
        <w:rPr/>
      </w:pPr>
      <w:r>
        <w:rPr>
          <w:lang w:eastAsia="en-US"/>
        </w:rPr>
        <w:t>T</w:t>
      </w:r>
      <w:r>
        <w:rPr>
          <w:vertAlign w:val="subscript"/>
          <w:lang w:eastAsia="en-US"/>
        </w:rPr>
        <w:t>сч</w:t>
      </w:r>
      <w:r>
        <w:rPr>
          <w:lang w:eastAsia="en-US"/>
        </w:rPr>
        <w:t xml:space="preserve"> — интервал измерения. [15]</w:t>
      </w:r>
    </w:p>
    <w:p>
      <w:pPr>
        <w:pStyle w:val="BodyText"/>
        <w:rPr>
          <w:lang w:eastAsia="en-US"/>
        </w:rPr>
      </w:pPr>
      <w:r>
        <w:rPr>
          <w:lang w:eastAsia="en-US"/>
        </w:rPr>
        <w:t>Метод прямого счета отличается высокой точностью при использовании длительных интервалов измерения и качественного опорного генератора. Благодаря относительной простоте реализации данный подход получил широкое распространение в лабораторных измерительных приборах и промышленных системах контроля. Однако такой метод позволяет определить только частоту сигнала и практически не предоставляет информации о его форме или спектральном составе. Кроме того, наличие помех может приводить к появлению лишних или пропущенных импульсов, что непосредственно влияет на результат измерения.</w:t>
      </w:r>
    </w:p>
    <w:p>
      <w:pPr>
        <w:pStyle w:val="BodyText"/>
        <w:rPr>
          <w:lang w:eastAsia="en-US"/>
        </w:rPr>
      </w:pPr>
      <w:r>
        <w:rPr>
          <w:lang w:eastAsia="en-US"/>
        </w:rPr>
        <w:t>Для измерения частоты также широко применяются системы фазовой автоподстройки частоты (ФАПЧ). В основе работы таких устройств лежит сравнение фазы входного сигнала с фазой сигнала внутреннего генератора. В результате работы системы формируется управляющее воздействие, обеспечивающее синхронизацию генератора с исследуемым сигналом.</w:t>
      </w:r>
    </w:p>
    <w:p>
      <w:pPr>
        <w:pStyle w:val="BodyText"/>
        <w:rPr>
          <w:lang w:eastAsia="en-US"/>
        </w:rPr>
      </w:pPr>
      <w:r>
        <w:rPr>
          <w:lang w:eastAsia="en-US"/>
        </w:rPr>
        <w:t>Использование ФАПЧ позволяет эффективно подавлять высокочастотные помехи и получать устойчивую оценку частоты даже при значительном уровне шума. Именно поэтому подобные схемы получили широкое распространение в радиоприемной аппаратуре, системах связи и синтезаторах частоты. Недостатком метода является сравнительно сложная аппаратная реализация и ограниченность измеряемых параметров. В большинстве случаев система ФАПЧ позволяет получить только информацию о частоте и фазе сигнала, тогда как определение амплитуды и формы сигнала требует дополнительных измерительных трактов.</w:t>
      </w:r>
    </w:p>
    <w:p>
      <w:pPr>
        <w:pStyle w:val="BodyText"/>
        <w:rPr>
          <w:lang w:eastAsia="en-US"/>
        </w:rPr>
      </w:pPr>
      <w:r>
        <w:rPr>
          <w:lang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отсчетов, после чего необходимые параметры определяются программными методами.</w:t>
      </w:r>
    </w:p>
    <w:p>
      <w:pPr>
        <w:pStyle w:val="BodyText"/>
        <w:rPr>
          <w:lang w:eastAsia="en-US"/>
        </w:rPr>
      </w:pPr>
      <w:r>
        <w:rPr>
          <w:lang w:eastAsia="en-US"/>
        </w:rPr>
        <w:t>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поставленной задачи. [8]</w:t>
      </w:r>
    </w:p>
    <w:p>
      <w:pPr>
        <w:pStyle w:val="BodyText"/>
        <w:rPr>
          <w:lang w:eastAsia="en-US"/>
        </w:rPr>
      </w:pPr>
      <w:r>
        <w:rPr>
          <w:lang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pPr>
        <w:pStyle w:val="BodyText"/>
        <w:rPr>
          <w:lang w:eastAsia="en-US"/>
        </w:rPr>
      </w:pPr>
      <w:r>
        <w:rPr>
          <w:lang w:eastAsia="en-US"/>
        </w:rPr>
        <w:t>Вместе с тем использование быстрого преобразования Фурье требует значительного объема вычислений и достаточного количества отсчетов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pPr>
        <w:pStyle w:val="BodyText"/>
        <w:rPr>
          <w:lang w:eastAsia="en-US"/>
        </w:rPr>
      </w:pPr>
      <w:r>
        <w:rPr>
          <w:lang w:eastAsia="en-US"/>
        </w:rPr>
        <w:t>Другим распространенным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отсчетов, соответствующих изменению знака сигнала, и последующем вычислении среднего периода между соседними пересечениями.</w:t>
      </w:r>
    </w:p>
    <w:p>
      <w:pPr>
        <w:pStyle w:val="BodyText"/>
        <w:rPr>
          <w:lang w:eastAsia="en-US"/>
        </w:rPr>
      </w:pPr>
      <w:r>
        <w:rPr>
          <w:lang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pPr>
        <w:pStyle w:val="BodyText"/>
        <w:rPr>
          <w:lang w:eastAsia="en-US"/>
        </w:rPr>
      </w:pPr>
      <w:r>
        <w:rPr>
          <w:lang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pPr>
        <w:pStyle w:val="BodyText"/>
        <w:rPr>
          <w:lang w:eastAsia="en-US"/>
        </w:rPr>
      </w:pPr>
      <w:r>
        <w:rPr>
          <w:lang w:eastAsia="en-US"/>
        </w:rPr>
        <w:t>Корреляционные методы отличаются высокой устойчивостью к помехам и способны работать даже при низком отношении сигнал/шум. Однако повышение устойчивости достигается ценой значительного увеличения вычислительной нагрузки и требований к объему памяти устройства.</w:t>
      </w:r>
    </w:p>
    <w:p>
      <w:pPr>
        <w:pStyle w:val="BodyText"/>
        <w:rPr>
          <w:lang w:eastAsia="en-US"/>
        </w:rPr>
      </w:pPr>
      <w:r>
        <w:rPr>
          <w:lang w:eastAsia="en-US"/>
        </w:rPr>
        <w:t>Особый интерес для рассматриваемой работы представляет гистограммный анализ сигнала. В отличие от большинства методов, основанных на анализе временной структуры сигнала, данный подход использует статистическое распределение значений отсчетов. При накоплении большого количества измерений формируется гистограмма амплитуд, отражающая вероятность появления тех или иных уровней сигнала.</w:t>
      </w:r>
    </w:p>
    <w:p>
      <w:pPr>
        <w:pStyle w:val="BodyText"/>
        <w:rPr>
          <w:lang w:eastAsia="en-US"/>
        </w:rPr>
      </w:pPr>
      <w:r>
        <w:rPr>
          <w:lang w:eastAsia="en-US"/>
        </w:rPr>
        <w:t>Для периодических сигналов с ограниченным количеством характерных уровней на гистограмме возникают выраженные максимумы. Положение этих максимумов позволяет оценить амплитудные параметры сигнала, а дополнительный анализ последовательности отсчетов дает возможность определить период и частоту. Важным преимуществом метода является его высокая устойчивость к случайным шумам. Воздействие помех приводит к некоторому расширению распределения значений, однако положение основных максимумов сохраняется даже при относительно низком отношении сигнал/шум. [15]</w:t>
      </w:r>
    </w:p>
    <w:p>
      <w:pPr>
        <w:pStyle w:val="BodyText"/>
        <w:rPr>
          <w:lang w:eastAsia="en-US"/>
        </w:rPr>
      </w:pPr>
      <w:r>
        <w:rPr>
          <w:lang w:eastAsia="en-US"/>
        </w:rPr>
        <w:t>Для обработки высокоскоростных потоков данных также используются цифровые сигнальные процессоры и программируемые логические интегральные схемы. Подобные решения позволяют выполнять сложные вычисления непосредственно в процессе поступления данных и обеспечивают высокую производительность системы. На базе DSP и FPGA реализуются современные цифровые осциллографы, анализаторы спектра, программно-определяемые радиосистемы и другие устройства обработки сигналов.</w:t>
      </w:r>
    </w:p>
    <w:p>
      <w:pPr>
        <w:pStyle w:val="BodyText"/>
        <w:rPr>
          <w:lang w:eastAsia="en-US"/>
        </w:rPr>
      </w:pPr>
      <w:r>
        <w:rPr>
          <w:lang w:eastAsia="en-US"/>
        </w:rPr>
        <w:t>Недостатком данного подхода является высокая стоимость разработки и необходимость привлечения специалистов высокой квалификации. Кроме того, для многих задач производительность таких систем оказывается избыточной, что делает их применение экономически нецелесообразным.</w:t>
      </w:r>
    </w:p>
    <w:p>
      <w:pPr>
        <w:pStyle w:val="BodyText"/>
        <w:rPr>
          <w:lang w:eastAsia="en-US"/>
        </w:rPr>
      </w:pPr>
      <w:r>
        <w:rPr>
          <w:lang w:eastAsia="en-US"/>
        </w:rPr>
        <w:t>Помимо универсальных измерительных систем существуют специализированные цифровые анализаторы, предназначенные для решения отдельных задач. К ним относятся анализаторы фазового шума, джиттера, временных интервалов и других параметров высокочастотных сигналов. Такие приборы обеспечивают высокую точность измерений, однако имеют значительную стоимость и ориентированы на узкий круг прикладных задач.</w:t>
      </w:r>
    </w:p>
    <w:p>
      <w:pPr>
        <w:pStyle w:val="BodyText"/>
        <w:rPr>
          <w:lang w:eastAsia="en-US"/>
        </w:rPr>
      </w:pPr>
      <w:r>
        <w:rPr>
          <w:lang w:eastAsia="en-US"/>
        </w:rPr>
        <w:t>Таким образом, проведенный анализ показывает, что аналоговые методы отличаются простотой и низкой стоимостью, однако обладают ограниченными возможностями обработки сигналов. Современные цифровые методы обеспечивают значительно большую гибкость и позволяют реализовывать сложные алгоритмы анализа, включая спектральную, корреляционную и статистическую обработку. Наиболее перспективным направлением для решения поставленной задачи является использование быстродействующего аналого-цифрового преобразователя совместно с цифровыми алгоритмами обработки, что позволяет сочетать высокую точность измерений, устойчивость к помехам и возможность дальнейшего совершенствования программного обеспечения без изменения аппаратной части устройства.</w:t>
      </w:r>
    </w:p>
    <w:p>
      <w:pPr>
        <w:pStyle w:val="BodyText"/>
        <w:rPr>
          <w:lang w:eastAsia="en-US"/>
        </w:rPr>
      </w:pPr>
      <w:r>
        <w:rPr>
          <w:lang w:eastAsia="en-US"/>
        </w:rPr>
      </w:r>
    </w:p>
    <w:p>
      <w:pPr>
        <w:pStyle w:val="Heading2"/>
        <w:rPr/>
      </w:pPr>
      <w:bookmarkStart w:id="10" w:name="__RefHeading___Toc2380_3476232239"/>
      <w:bookmarkEnd w:id="10"/>
      <w:r>
        <w:rPr/>
        <w:t>1.6 Сравнительный анализ существующих методов определения параметров периодических сигналов</w:t>
      </w:r>
    </w:p>
    <w:p>
      <w:pPr>
        <w:pStyle w:val="BodyText"/>
        <w:rPr>
          <w:lang w:eastAsia="en-US"/>
        </w:rPr>
      </w:pPr>
      <w:r>
        <w:rPr/>
        <w:t>Рассмотренные методы обладают различными достоинствами и недостатками, что затрудняет выбор оптимального подхода для построения устройства определения параметров периодических сигналов в условиях воздействия шумов и помех. На практике эффективность метода определяется не только точностью измерений, но и сложностью реализации, стоимостью оборудования, возможностью модернизации программного обеспечения и устойчивостью к изменению условий эксплуатации.</w:t>
      </w:r>
    </w:p>
    <w:p>
      <w:pPr>
        <w:pStyle w:val="BodyText"/>
        <w:rPr>
          <w:lang w:eastAsia="en-US"/>
        </w:rPr>
      </w:pPr>
      <w:r>
        <w:rPr/>
        <w:t>Особенностью поставленной задачи является необходимость одновременного определения нескольких параметров сигнала при наличии помех. Кроме того, разрабатываемое устройство должно обеспечивать возможность дальнейшего совершенствования алгоритмов обработки без существенного изменения аппаратной части, а так же использования в составе измерительно-испытательного оборудования.</w:t>
      </w:r>
    </w:p>
    <w:p>
      <w:pPr>
        <w:pStyle w:val="BodyText"/>
        <w:rPr>
          <w:lang w:eastAsia="en-US"/>
        </w:rPr>
      </w:pPr>
      <w:r>
        <w:rPr/>
        <w:t>Для удобства анализа основные характеристики рассмотренных методов сведены в таблицу 1.6.1.</w:t>
      </w:r>
    </w:p>
    <w:tbl>
      <w:tblPr>
        <w:tblW w:w="9362" w:type="dxa"/>
        <w:jc w:val="start"/>
        <w:tblInd w:w="28" w:type="dxa"/>
        <w:tblLayout w:type="fixed"/>
        <w:tblCellMar>
          <w:top w:w="28" w:type="dxa"/>
          <w:start w:w="28" w:type="dxa"/>
          <w:bottom w:w="28" w:type="dxa"/>
          <w:end w:w="28" w:type="dxa"/>
        </w:tblCellMar>
        <w:tblLook w:val="04a0" w:noHBand="0" w:noVBand="1" w:firstColumn="1" w:lastRow="0" w:lastColumn="0" w:firstRow="1"/>
      </w:tblPr>
      <w:tblGrid>
        <w:gridCol w:w="1643"/>
        <w:gridCol w:w="1244"/>
        <w:gridCol w:w="1366"/>
        <w:gridCol w:w="1529"/>
        <w:gridCol w:w="1531"/>
        <w:gridCol w:w="2048"/>
      </w:tblGrid>
      <w:tr>
        <w:trPr>
          <w:tblHeader w:val="true"/>
        </w:trPr>
        <w:tc>
          <w:tcPr>
            <w:tcW w:w="1643" w:type="dxa"/>
            <w:tcBorders>
              <w:top w:val="single" w:sz="4" w:space="0" w:color="000000"/>
              <w:start w:val="single" w:sz="4"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Метод</w:t>
            </w:r>
          </w:p>
        </w:tc>
        <w:tc>
          <w:tcPr>
            <w:tcW w:w="1244"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Сложность разработки</w:t>
            </w:r>
          </w:p>
        </w:tc>
        <w:tc>
          <w:tcPr>
            <w:tcW w:w="1366"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Стоимость компонентов</w:t>
            </w:r>
          </w:p>
        </w:tc>
        <w:tc>
          <w:tcPr>
            <w:tcW w:w="1529"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top w:val="single" w:sz="4" w:space="0" w:color="000000"/>
              <w:start w:val="single" w:sz="6" w:space="0" w:color="000000"/>
              <w:bottom w:val="single" w:sz="6" w:space="0" w:color="000000"/>
              <w:end w:val="single" w:sz="6"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Устойчивость к шуму</w:t>
            </w:r>
          </w:p>
        </w:tc>
        <w:tc>
          <w:tcPr>
            <w:tcW w:w="2048" w:type="dxa"/>
            <w:tcBorders>
              <w:top w:val="single" w:sz="4" w:space="0" w:color="000000"/>
              <w:start w:val="single" w:sz="6" w:space="0" w:color="000000"/>
              <w:bottom w:val="single" w:sz="6" w:space="0" w:color="000000"/>
              <w:end w:val="single" w:sz="4" w:space="0" w:color="000000"/>
            </w:tcBorders>
            <w:vAlign w:val="center"/>
          </w:tcPr>
          <w:p>
            <w:pPr>
              <w:pStyle w:val="TableHeading"/>
              <w:spacing w:lineRule="auto" w:line="240"/>
              <w:ind w:hanging="0"/>
              <w:rPr>
                <w:rFonts w:ascii="Times New Roman" w:hAnsi="Times New Roman"/>
                <w:sz w:val="20"/>
                <w:szCs w:val="20"/>
              </w:rPr>
            </w:pPr>
            <w:r>
              <w:rPr>
                <w:rFonts w:ascii="Times New Roman" w:hAnsi="Times New Roman"/>
                <w:sz w:val="20"/>
                <w:szCs w:val="20"/>
              </w:rPr>
              <w:t>Гибкость алгоритмов</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4"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529"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Отсутствует</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Частотомер прямого счета</w:t>
            </w:r>
          </w:p>
        </w:tc>
        <w:tc>
          <w:tcPr>
            <w:tcW w:w="1244"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529"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Отсутствует</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ФАПЧ</w:t>
            </w:r>
          </w:p>
        </w:tc>
        <w:tc>
          <w:tcPr>
            <w:tcW w:w="1244"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фаза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FFT на MCU</w:t>
            </w:r>
          </w:p>
        </w:tc>
        <w:tc>
          <w:tcPr>
            <w:tcW w:w="1244"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Метод нулевых пересечений</w:t>
            </w:r>
          </w:p>
        </w:tc>
        <w:tc>
          <w:tcPr>
            <w:tcW w:w="1244"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Низкая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Корреляционный анализ</w:t>
            </w:r>
          </w:p>
        </w:tc>
        <w:tc>
          <w:tcPr>
            <w:tcW w:w="1244"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Частота, период, фаза</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Гистограммный анализ</w:t>
            </w:r>
          </w:p>
        </w:tc>
        <w:tc>
          <w:tcPr>
            <w:tcW w:w="1244"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366"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Средняя</w:t>
            </w:r>
          </w:p>
        </w:tc>
        <w:tc>
          <w:tcPr>
            <w:tcW w:w="1529"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top w:val="single" w:sz="6" w:space="0" w:color="000000"/>
              <w:start w:val="single" w:sz="6" w:space="0" w:color="000000"/>
              <w:bottom w:val="single" w:sz="6"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6"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r>
      <w:tr>
        <w:trPr/>
        <w:tc>
          <w:tcPr>
            <w:tcW w:w="1643" w:type="dxa"/>
            <w:tcBorders>
              <w:top w:val="single" w:sz="6" w:space="0" w:color="000000"/>
              <w:start w:val="single" w:sz="4"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DSP / FPGA</w:t>
            </w:r>
          </w:p>
        </w:tc>
        <w:tc>
          <w:tcPr>
            <w:tcW w:w="1244"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Очень высокая</w:t>
            </w:r>
          </w:p>
        </w:tc>
        <w:tc>
          <w:tcPr>
            <w:tcW w:w="1366"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1529"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top w:val="single" w:sz="6" w:space="0" w:color="000000"/>
              <w:start w:val="single" w:sz="6" w:space="0" w:color="000000"/>
              <w:bottom w:val="single" w:sz="4" w:space="0" w:color="000000"/>
              <w:end w:val="single" w:sz="6"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Высокая</w:t>
            </w:r>
          </w:p>
        </w:tc>
        <w:tc>
          <w:tcPr>
            <w:tcW w:w="2048" w:type="dxa"/>
            <w:tcBorders>
              <w:top w:val="single" w:sz="6" w:space="0" w:color="000000"/>
              <w:start w:val="single" w:sz="6" w:space="0" w:color="000000"/>
              <w:bottom w:val="single" w:sz="4" w:space="0" w:color="000000"/>
              <w:end w:val="single" w:sz="4" w:space="0" w:color="000000"/>
            </w:tcBorders>
            <w:vAlign w:val="center"/>
          </w:tcPr>
          <w:p>
            <w:pPr>
              <w:pStyle w:val="TableContents"/>
              <w:spacing w:lineRule="auto" w:line="240"/>
              <w:ind w:hanging="0"/>
              <w:rPr>
                <w:rFonts w:ascii="Times New Roman" w:hAnsi="Times New Roman"/>
                <w:sz w:val="20"/>
                <w:szCs w:val="20"/>
              </w:rPr>
            </w:pPr>
            <w:r>
              <w:rPr>
                <w:rFonts w:ascii="Times New Roman" w:hAnsi="Times New Roman"/>
                <w:sz w:val="20"/>
                <w:szCs w:val="20"/>
              </w:rPr>
              <w:t>Очень высокая</w:t>
            </w:r>
          </w:p>
        </w:tc>
      </w:tr>
    </w:tbl>
    <w:p>
      <w:pPr>
        <w:pStyle w:val="BodyText"/>
        <w:rPr>
          <w:lang w:eastAsia="en-US"/>
        </w:rPr>
      </w:pPr>
      <w:r>
        <w:rPr>
          <w:lang w:eastAsia="en-US"/>
        </w:rPr>
        <w:t>Таблица 1.6.1 — Сравнительные характеристики методов.</w:t>
      </w:r>
    </w:p>
    <w:p>
      <w:pPr>
        <w:pStyle w:val="BodyText"/>
        <w:rPr>
          <w:lang w:eastAsia="en-US"/>
        </w:rPr>
      </w:pPr>
      <w:r>
        <w:rPr>
          <w:lang w:eastAsia="en-US"/>
        </w:rPr>
      </w:r>
    </w:p>
    <w:p>
      <w:pPr>
        <w:pStyle w:val="BodyText"/>
        <w:rPr>
          <w:lang w:eastAsia="en-US"/>
        </w:rPr>
      </w:pPr>
      <w:r>
        <w:rPr/>
        <w:t>Из приведенных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pPr>
        <w:pStyle w:val="BodyText"/>
        <w:rPr>
          <w:lang w:eastAsia="en-US"/>
        </w:rPr>
      </w:pPr>
      <w:r>
        <w:rPr/>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pPr>
        <w:pStyle w:val="BodyText"/>
        <w:rPr>
          <w:lang w:eastAsia="en-US"/>
        </w:rPr>
      </w:pPr>
      <w:r>
        <w:rPr/>
        <w:t>Методы цифровой обработки на основе быстрого преобразования Фурье значительно расширяют функциональные возможности измерительной системы. Помимо определения основной частоты сигнала появляется возможность анализа гармонического состава и оценки спектральных характеристик. Недостатком метода является сравнительно высокая вычислительная сложность, особенно при необходимости анализа больших объемов данных в реальном времени.</w:t>
      </w:r>
    </w:p>
    <w:p>
      <w:pPr>
        <w:pStyle w:val="BodyText"/>
        <w:rPr>
          <w:lang w:eastAsia="en-US"/>
        </w:rPr>
      </w:pPr>
      <w:r>
        <w:rPr/>
        <w:t>Корреляционные методы демонстрируют высокую устойчивость к помехам и позволяют выполнять измерения даже при низких значениях отношения сигнал/шум. Однако вычислительные затраты при реализации корреляционного анализа существенно возрастают по мере увеличения объема выборки, что ограничивает применение метода на микроконтроллерах с ограниченными вычислительными ресурсами.</w:t>
      </w:r>
    </w:p>
    <w:p>
      <w:pPr>
        <w:pStyle w:val="BodyText"/>
        <w:rPr>
          <w:lang w:eastAsia="en-US"/>
        </w:rPr>
      </w:pPr>
      <w:r>
        <w:rPr/>
        <w:t>Особого внимания заслуживает гистограммный подход к анализу сигналов. В отличие от большинства рассмотренных методов, он позволяет использовать статистические свойства сигнала для определения его параметров. Наличие шумов оказывает значительно меньшее влияние на положение основных максимумов распределения, чем на моменты пересечения порогов или результаты прямого подсчета периодов. Благодаря этому появляется возможность получения устойчивых оценок параметров сигнала даже при значительном уровне помех.</w:t>
      </w:r>
    </w:p>
    <w:p>
      <w:pPr>
        <w:pStyle w:val="BodyText"/>
        <w:rPr>
          <w:lang w:eastAsia="en-US"/>
        </w:rPr>
      </w:pPr>
      <w:r>
        <w:rP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pPr>
        <w:pStyle w:val="BodyText"/>
        <w:rPr>
          <w:lang w:eastAsia="en-US"/>
        </w:rPr>
      </w:pPr>
      <w:r>
        <w:rP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pPr>
        <w:pStyle w:val="BodyText"/>
        <w:rPr>
          <w:lang w:eastAsia="en-US"/>
        </w:rPr>
      </w:pPr>
      <w:r>
        <w:rPr/>
        <w:t>На основании проведенного анализа можно сделать вывод о целесообразности применения цифрового подхода, основанного на использовании быстродействующего аналого-цифрового преобразователя и последующей программной обработке полученных данных. Такой подход обеспечивает приемлемую стоимость аппаратной части, высокую устойчивость к воздействию шумов и возможность изменения алгоритмов обработки без внесения изменений в конструкцию устройства. Дополнительным преимуществом является возможность передачи массива оцифрованных данных на персональный компьютер для выполнения более сложного анализа, что позволяет расширить функциональные возможности системы без увеличения сложности встроенного программного обеспечения.</w:t>
      </w:r>
    </w:p>
    <w:p>
      <w:pPr>
        <w:pStyle w:val="BodyText"/>
        <w:rPr/>
      </w:pPr>
      <w:r>
        <w:rPr/>
      </w:r>
    </w:p>
    <w:p>
      <w:pPr>
        <w:pStyle w:val="Heading2"/>
        <w:rPr/>
      </w:pPr>
      <w:bookmarkStart w:id="11" w:name="__RefHeading___Toc2382_3476232239"/>
      <w:bookmarkEnd w:id="11"/>
      <w:r>
        <w:rPr/>
        <w:t>1.7 Патентный поиск и обзор аналогичных решений</w:t>
      </w:r>
    </w:p>
    <w:p>
      <w:pPr>
        <w:pStyle w:val="BodyText"/>
        <w:rPr/>
      </w:pPr>
      <w:r>
        <w:rPr/>
        <w:t>При разработке нового измерительного устройства необходимо провести анализ существующих технических решений и определить степень проработанности рассматриваемой проблемы. Патентный поиск позволяет выявить наиболее распространенные подходы к измерению параметров периодических сигналов, определить направления развития измерительной техники, а также оценить степень новизны предлагаемых решений.</w:t>
      </w:r>
    </w:p>
    <w:p>
      <w:pPr>
        <w:pStyle w:val="BodyText"/>
        <w:rPr/>
      </w:pPr>
      <w:r>
        <w:rPr/>
        <w:t>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посвященным измерительной технике [11][16].</w:t>
      </w:r>
    </w:p>
    <w:p>
      <w:pPr>
        <w:pStyle w:val="BodyText"/>
        <w:rPr/>
      </w:pPr>
      <w:r>
        <w:rP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pPr>
        <w:pStyle w:val="BodyText"/>
        <w:rPr/>
      </w:pPr>
      <w:r>
        <w:rP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pPr>
        <w:pStyle w:val="BodyText"/>
        <w:rPr/>
      </w:pPr>
      <w:r>
        <w:rPr/>
        <w:t>Другим интересным решением является патент RU2229139C1, посвященный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счет этого достигается сокращение вычислительных затрат по сравнению с классическими методами спектрального анализа. Такой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определенной структуры исследуемого сигнала.</w:t>
      </w:r>
    </w:p>
    <w:p>
      <w:pPr>
        <w:pStyle w:val="BodyText"/>
        <w:rPr/>
      </w:pPr>
      <w:r>
        <w:rPr/>
        <w:t>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шумоподобных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pPr>
        <w:pStyle w:val="BodyText"/>
        <w:rPr/>
      </w:pPr>
      <w:r>
        <w:rPr/>
        <w:t>В ряде публикаций и патентных материалов рассматриваются способы определения средней частоты периодических сигналов, в частности решение RU2365924. Основное внимание в подобных работах уделяется повышению точности измерения частоты и снижению влияния нестабильности временной базы. При этом вопросы определения амплитудных характеристик и анализа формы сигнала обычно остаются за рамками рассматриваемых решений.</w:t>
      </w:r>
    </w:p>
    <w:p>
      <w:pPr>
        <w:pStyle w:val="BodyText"/>
        <w:rPr/>
      </w:pPr>
      <w:r>
        <w:rPr/>
        <w:t>Отдельное направление исследований связано с повышением точности фазовых измерений в условиях воздействия шумов. Примером может служить патент RU2740790, посвященный оценке фазовых характеристик многочастотных сигналов. В описании подчеркивается, что наличие шумов и помех является одним из основных факторов, ограничивающих точность измерительных систем. Данный факт дополнительно подтверждает актуальность темы настоящей работы, поскольку именно устойчивость измерений к воздействию шумов является одной из основных целей разработки.</w:t>
      </w:r>
    </w:p>
    <w:p>
      <w:pPr>
        <w:pStyle w:val="BodyText"/>
        <w:rPr/>
      </w:pPr>
      <w:r>
        <w:rPr/>
        <w:t>Следует отметить, что значительная часть современных технических решений реализуется не в виде специализированных измерителей отдельных параметров, а в виде универсальных цифровых осциллографов и анализаторов сигналов. Такие приборы позволяют наблюдать форму сигнала, выполнять спектральный анализ, измерять временные интервалы и вычислять широкий набор характеристик. Однако подобные устройства ориентированы прежде всего на использование человеком-оператором и содержат развитый человеко-машинный интерфейс, средства визуализации и настройки параметров измерений.</w:t>
      </w:r>
    </w:p>
    <w:p>
      <w:pPr>
        <w:pStyle w:val="BodyText"/>
        <w:rPr/>
      </w:pPr>
      <w:r>
        <w:rP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pPr>
        <w:pStyle w:val="BodyText"/>
        <w:rPr/>
      </w:pPr>
      <w:r>
        <w:rPr/>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pPr>
        <w:pStyle w:val="BodyText"/>
        <w:rPr/>
      </w:pPr>
      <w:r>
        <w:rP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pPr>
        <w:pStyle w:val="Heading1"/>
        <w:numPr>
          <w:ilvl w:val="0"/>
          <w:numId w:val="1"/>
        </w:numPr>
        <w:spacing w:before="0" w:after="0"/>
        <w:ind w:firstLine="709"/>
        <w:rPr/>
      </w:pPr>
      <w:bookmarkStart w:id="12" w:name="__RefHeading___Toc229529023"/>
      <w:bookmarkEnd w:id="12"/>
      <w:r>
        <w:rPr/>
        <w:t>2. ПРЕДЛАГАЕМЫЕ СПОСОБЫ РЕШЕНИЯ ПРОБЛЕМЫ</w:t>
      </w:r>
    </w:p>
    <w:p>
      <w:pPr>
        <w:pStyle w:val="BodyText"/>
        <w:rPr/>
      </w:pPr>
      <w:r>
        <w:rPr/>
      </w:r>
    </w:p>
    <w:p>
      <w:pPr>
        <w:pStyle w:val="Heading2"/>
        <w:rPr/>
      </w:pPr>
      <w:bookmarkStart w:id="13" w:name="__RefHeading___Toc2113_3500123358"/>
      <w:bookmarkEnd w:id="13"/>
      <w:r>
        <w:rPr/>
        <w:t>2.1 Постановка задачи разработки устройства</w:t>
      </w:r>
    </w:p>
    <w:p>
      <w:pPr>
        <w:pStyle w:val="BodyText"/>
        <w:rPr/>
      </w:pPr>
      <w:r>
        <w:rP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pPr>
        <w:pStyle w:val="BodyText"/>
        <w:rPr/>
      </w:pPr>
      <w:r>
        <w:rP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pPr>
        <w:pStyle w:val="BodyText"/>
        <w:rPr/>
      </w:pPr>
      <w:r>
        <w:rP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pPr>
        <w:pStyle w:val="BodyText"/>
        <w:rPr/>
      </w:pPr>
      <w:r>
        <w:rPr/>
        <w:t>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заданных режимов работы. Определение постоянной составляющей сигнала 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pPr>
        <w:pStyle w:val="BodyText"/>
        <w:rPr/>
      </w:pPr>
      <w:r>
        <w:rP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pPr>
        <w:pStyle w:val="BodyText"/>
        <w:rPr/>
      </w:pPr>
      <w:r>
        <w:rP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pPr>
        <w:pStyle w:val="BodyText"/>
        <w:rPr/>
      </w:pPr>
      <w:r>
        <w:rPr/>
        <w:t>При выборе метода реализации необходимо также учитывать стоимость устройства. В рассматриваемой задаче не требуется достижение метрологических характеристик лабораторного оборудования. Гораздо более важным является получение приемлемой точности измерений при разумной стоимости компонентов и минимальной сложности конструкции. Это особенно важно при использовании устройства в составе испытательных стендов или серийно выпускаемого оборудования.</w:t>
      </w:r>
    </w:p>
    <w:p>
      <w:pPr>
        <w:pStyle w:val="BodyText"/>
        <w:rPr/>
      </w:pPr>
      <w:r>
        <w:rPr/>
        <w:t>Дополнительным требованием является возможность интеграции устройства в автоматизированные измерительные системы. Результаты измерений должны быть доступны для последующей обработки, регистрации или передачи во внешние программные комплексы. При необходимости должна сохраняться возможность передачи не только вычисленных параметров, но и исходных данных измерений для выполнения более сложного анализа на стороне персонального компьютера.</w:t>
      </w:r>
    </w:p>
    <w:p>
      <w:pPr>
        <w:pStyle w:val="BodyText"/>
        <w:rPr/>
      </w:pPr>
      <w:r>
        <w:rPr/>
        <w:t>Отдельного внимания заслуживают требования к входному измерительному тракту. Поскольку постоянная составляющая сигнала не представляет интереса для решаемой задачи, желательно исключить ее влияние на результаты измерений еще до этапа аналого-цифрового преобразования. Кроме того, входной тракт должен обеспечивать ослабление низкочастотных помех, в первую очередь наводок промышленной сети частотой 50 Гц и ее гармоник. Это позволяет более эффективно использовать динамический диапазон преобразователя и уменьшить влияние посторонних воздействий на результаты измерений.</w:t>
      </w:r>
    </w:p>
    <w:p>
      <w:pPr>
        <w:pStyle w:val="BodyText"/>
        <w:rPr/>
      </w:pPr>
      <w:r>
        <w:rPr/>
        <w:t>Таким образом, к разрабатываемому устройству предъявляются следующие основные требования:</w:t>
      </w:r>
    </w:p>
    <w:p>
      <w:pPr>
        <w:pStyle w:val="BodyText"/>
        <w:rPr/>
      </w:pPr>
      <w:r>
        <w:rPr/>
        <w:t>- определение амплитуды периодического сигнала;</w:t>
      </w:r>
    </w:p>
    <w:p>
      <w:pPr>
        <w:pStyle w:val="BodyText"/>
        <w:rPr/>
      </w:pPr>
      <w:r>
        <w:rPr/>
        <w:t>- определение частоты сигнала в диапазоне от 30 до 300 кГц;</w:t>
      </w:r>
    </w:p>
    <w:p>
      <w:pPr>
        <w:pStyle w:val="BodyText"/>
        <w:rPr/>
      </w:pPr>
      <w:r>
        <w:rPr/>
        <w:t>- работа в условиях воздействия шумов и помех;</w:t>
      </w:r>
    </w:p>
    <w:p>
      <w:pPr>
        <w:pStyle w:val="BodyText"/>
        <w:rPr/>
      </w:pPr>
      <w:r>
        <w:rPr/>
        <w:t>- возможность изменения алгоритмов обработки без изменения аппаратной части;</w:t>
      </w:r>
    </w:p>
    <w:p>
      <w:pPr>
        <w:pStyle w:val="BodyText"/>
        <w:rPr/>
      </w:pPr>
      <w:r>
        <w:rPr/>
        <w:t>- умеренная стоимость компонентов;</w:t>
      </w:r>
    </w:p>
    <w:p>
      <w:pPr>
        <w:pStyle w:val="BodyText"/>
        <w:rPr/>
      </w:pPr>
      <w:r>
        <w:rPr/>
        <w:t>- возможность интеграции в автоматизированные системы;</w:t>
      </w:r>
    </w:p>
    <w:p>
      <w:pPr>
        <w:pStyle w:val="BodyText"/>
        <w:rPr/>
      </w:pPr>
      <w:r>
        <w:rPr/>
        <w:t>- возможность передачи результатов измерений и исходных данных во внешние программные средства;</w:t>
      </w:r>
    </w:p>
    <w:p>
      <w:pPr>
        <w:pStyle w:val="BodyText"/>
        <w:rPr/>
      </w:pPr>
      <w:r>
        <w:rPr/>
        <w:t>- подавление постоянной составляющей и низкочастотных наводок на входе устройства.</w:t>
      </w:r>
    </w:p>
    <w:p>
      <w:pPr>
        <w:pStyle w:val="BodyText"/>
        <w:rPr/>
      </w:pPr>
      <w:r>
        <w:rPr/>
        <w:t>На основании сформулированных требований в дальнейшем будет выполнен анализ возможных способов реализации устройства и произведeн выбор метода обработки сигнала, наиболее полно удовлетворяющего поставленной задаче.</w:t>
      </w:r>
    </w:p>
    <w:p>
      <w:pPr>
        <w:pStyle w:val="BodyText"/>
        <w:rPr/>
      </w:pPr>
      <w:r>
        <w:rPr/>
      </w:r>
    </w:p>
    <w:p>
      <w:pPr>
        <w:pStyle w:val="Heading2"/>
        <w:rPr/>
      </w:pPr>
      <w:bookmarkStart w:id="14" w:name="__RefHeading___Toc2115_3500123358"/>
      <w:bookmarkEnd w:id="14"/>
      <w:r>
        <w:rPr/>
        <w:t>2.2 Реализация устройства на основе аналоговой предварительной обработки сигнала</w:t>
      </w:r>
    </w:p>
    <w:p>
      <w:pPr>
        <w:pStyle w:val="BodyText"/>
        <w:rPr/>
      </w:pPr>
      <w:r>
        <w:rP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pPr>
        <w:pStyle w:val="BodyText"/>
        <w:rPr/>
      </w:pPr>
      <w:r>
        <w:rP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pPr>
        <w:pStyle w:val="BodyText"/>
        <w:rPr/>
      </w:pPr>
      <w:r>
        <w:rPr/>
        <w:t>Для измерения частоты сигнала может использоваться компаратор с гистерезисом. [15]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[18]</w:t>
      </w:r>
    </w:p>
    <w:p>
      <w:pPr>
        <w:pStyle w:val="BodyText"/>
        <w:rPr/>
      </w:pPr>
      <w:r>
        <w:rPr/>
        <w:t>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счeтчика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pPr>
        <w:pStyle w:val="BodyText"/>
        <w:rPr/>
      </w:pPr>
      <w:r>
        <w:rPr/>
        <w:t>Измерение амплитуды может быть реализовано отдельными аналоговыми каналами. Один из вариантов предполагает использование двух независимых схем выделения экстремальных значений сигнала. Первый канал предназначен для определения максимального значения напряжения, второй — для определения минимального.</w:t>
      </w:r>
    </w:p>
    <w:p>
      <w:pPr>
        <w:pStyle w:val="BodyText"/>
        <w:rPr/>
      </w:pPr>
      <w:r>
        <w:rP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pPr>
        <w:pStyle w:val="BodyText"/>
        <w:rPr/>
      </w:pPr>
      <w:r>
        <w:rPr/>
        <w:t>Подобный подход позволяет существенно снизить объем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отсчетов, требования к производительности вычислительной системы оказываются значительно ниже.</w:t>
      </w:r>
    </w:p>
    <w:p>
      <w:pPr>
        <w:pStyle w:val="BodyText"/>
        <w:rPr/>
      </w:pPr>
      <w:r>
        <w:rPr/>
        <w:t>В процессе обсуждения возможных вариантов реализации также рассматривалась схема с использованием встроенных цифро-аналоговых преобразователей микроконтроллера. В этом случае уровни срабатывания компараторов могли формироваться программно и динамически изменяться в процессе работы устройства. Такой подход позволяет выполнять автоматическую подстройку порогов измерения и уменьшить влияние разброса параметров аналоговых компонентов.</w:t>
      </w:r>
    </w:p>
    <w:p>
      <w:pPr>
        <w:pStyle w:val="BodyText"/>
        <w:rPr/>
      </w:pPr>
      <w:r>
        <w:rPr/>
        <w:t>Дополнительным преимуществом использования программно управляемых порогов является возможность реализации алгоритмов автоматической калибровки устройства. При изменении характеристик компонентов вследствие старения или температуры система может корректировать уровни сравнения без вмешательства пользователя.</w:t>
      </w:r>
    </w:p>
    <w:p>
      <w:pPr>
        <w:pStyle w:val="BodyText"/>
        <w:rPr/>
      </w:pPr>
      <w:r>
        <w:rPr/>
        <w:t>Несмотря на относительную простоту программной части, разработка аналогового измерительного тракта представляет собой достаточно сложную инженерную задачу. Для обеспечения требуемой точности необходимо учитывать реальные параметры компонентов, температурную стабильность, входные токи компараторов, утечки конденсаторов интеграторов, влияние паразитных емкостей печатной платы и другие факторы.</w:t>
      </w:r>
    </w:p>
    <w:p>
      <w:pPr>
        <w:pStyle w:val="BodyText"/>
        <w:rPr/>
      </w:pPr>
      <w:r>
        <w:rPr/>
        <w:t>Кроме того, аналоговые схемы требуют тщательной настройки как на этапе разработки, так и при изготовлении устройства. Даже незначительное изменение номиналов резисторов или характеристик активных компонентов может привести к смещению порогов срабатывания и появлению дополнительной систематической погрешности.</w:t>
      </w:r>
    </w:p>
    <w:p>
      <w:pPr>
        <w:pStyle w:val="BodyText"/>
        <w:rPr/>
      </w:pPr>
      <w:r>
        <w:rPr/>
        <w:t>Следует отметить и фундаментальное ограничение данного подхода. Поскольку измерительная система фактически оперирует уже обработанными аналоговыми величинами, информация о форме сигнала и характере помех оказывается потеряна. Для устройства становится невозможным определить, является ли изменение измеренной амплитуды следствием реального изменения параметров сигнала либо результатом воздействия внешней помехи.</w:t>
      </w:r>
    </w:p>
    <w:p>
      <w:pPr>
        <w:pStyle w:val="BodyText"/>
        <w:rPr/>
      </w:pPr>
      <w:r>
        <w:rPr/>
        <w:t>Например, кратковременный высокоамплитудный выброс может быть воспринят схемой выделения максимального значения как часть полезного сигнала. Аналогично низкочастотные наводки способны изменить измеряемый уровень амплитуды без возможности их дальнейшего отделения от полезной составляющей. В результате система получает только итоговое значение параметра, но не располагает информацией, достаточной для оценки достоверности результата измерения.</w:t>
      </w:r>
    </w:p>
    <w:p>
      <w:pPr>
        <w:pStyle w:val="BodyText"/>
        <w:rPr/>
      </w:pPr>
      <w:r>
        <w:rPr/>
        <w:t>Таким образом, использование аналоговой предварительной обработки позволяет построить относительно простое устройство с минимальными требованиями к вычислительным ресурсам. Такой подход обеспечивает высокую скорость получения результатов и практически не создает нагрузки на микроконтроллер. Вместе с тем сложность разработки аналоговой части, необходимость настройки схемы и ограниченные возможности анализа помех существенно снижают гибкость данного решения. Любое изменение алгоритма обработки требует модификации аппаратной части устройства, что усложняет дальнейшее развитие измерительной системы.</w:t>
      </w:r>
    </w:p>
    <w:p>
      <w:pPr>
        <w:pStyle w:val="BodyText"/>
        <w:rPr/>
      </w:pPr>
      <w:r>
        <w:rPr/>
      </w:r>
    </w:p>
    <w:p>
      <w:pPr>
        <w:pStyle w:val="Heading2"/>
        <w:rPr/>
      </w:pPr>
      <w:bookmarkStart w:id="15" w:name="__RefHeading___Toc2117_3500123358"/>
      <w:bookmarkEnd w:id="15"/>
      <w:r>
        <w:rPr/>
        <w:t>2.3 Реализация устройства на основе полной оцифровки сигнала</w:t>
      </w:r>
    </w:p>
    <w:p>
      <w:pPr>
        <w:pStyle w:val="BodyText"/>
        <w:rPr/>
      </w:pPr>
      <w:r>
        <w:rPr/>
        <w:t>Рассмотренный в предыдущем разделе подход обладает рядом достоинств, однако имеет существенное ограничение, связанное с жесткой привязкой алгоритмов измерения к аппаратной реализации устройства. Любое изменение требований к измерениям приводит к необходимости модификации аналоговой схемы, что усложняет сопровождение и дальнейшее развитие системы.</w:t>
      </w:r>
    </w:p>
    <w:p>
      <w:pPr>
        <w:pStyle w:val="BodyText"/>
        <w:rPr/>
      </w:pPr>
      <w:r>
        <w:rP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pPr>
        <w:pStyle w:val="BodyText"/>
        <w:rPr/>
      </w:pPr>
      <w:r>
        <w:rPr/>
        <w:t>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отсчетов сигнала, а все алгоритмы анализа реализуются програмно и могут быть изменены в процессе эксплуатации.</w:t>
      </w:r>
    </w:p>
    <w:p>
      <w:pPr>
        <w:pStyle w:val="BodyText"/>
        <w:rPr/>
      </w:pPr>
      <w:r>
        <w:rP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pPr>
        <w:pStyle w:val="BodyText"/>
        <w:rPr/>
      </w:pPr>
      <w:r>
        <w:rPr/>
        <w:t>Дополнительной особенностью проекта являлось то, что разработка 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pPr>
        <w:pStyle w:val="BodyText"/>
        <w:rPr/>
      </w:pPr>
      <w:r>
        <w:rPr/>
        <w:t>Следует отметить, что в крупных проектах подобная ситуация встречается относительно редко. Как правило, разработка испытательного оборудования начинается после завершения основных этапов проектирования изделия и появления стабильной версии технической документации. В рассматриваемом случае значительная часть требований продолжала изменяться уже в процессе разработки измерительной системы, что создавало дополнительные риски и требовало высокой адаптивности применяемых технических решений.</w:t>
      </w:r>
    </w:p>
    <w:p>
      <w:pPr>
        <w:pStyle w:val="BodyText"/>
        <w:rPr/>
      </w:pPr>
      <w:r>
        <w:rPr/>
        <w:t>Ситуация дополнительно осложнялась отсутствием модели цифровой части микросхемы, пригодной для автономного тестирования. В результате часть предполагаемых сценариев испытаний могла быть проверена только после получения опытных образцов изделия. Это приводило к необходимости закладывать возможность изменения алгоритмов измерения ещe на этапе проектирования аппаратной части устройства.</w:t>
      </w:r>
    </w:p>
    <w:p>
      <w:pPr>
        <w:pStyle w:val="BodyText"/>
        <w:rPr/>
      </w:pPr>
      <w:r>
        <w:rPr/>
        <w:t>Анализ условий эксплуатации показал, что использование специализированных аналоговых схем для каждого измеряемого параметра в подобных условиях является нежелательным. Любое изменение методики испытаний могло потребовать переработки печатной платы, изменения схемотехнических решений и повторного изготовления аппаратуры. Такой подход увеличивал сроки выполнения работ и повышал стоимость разработки.</w:t>
      </w:r>
    </w:p>
    <w:p>
      <w:pPr>
        <w:pStyle w:val="BodyText"/>
        <w:rPr/>
      </w:pPr>
      <w:r>
        <w:rPr/>
        <w:t>По этой причине было принято решение рассматривать архитектуру, основанную на сохранении максимально полного объема информации об исследуемом сигнале. Наличие массива цифровых отсчетов позволяет реализовывать различные алгоритмы обработки исключительно программными средствами. При необходимости могут быть изменены методы определения амплитуды, частоты, фазы, формы сигнала или введены дополнительные вычисляемые параметры без внесения изменений в аппаратную часть устройства.</w:t>
      </w:r>
    </w:p>
    <w:p>
      <w:pPr>
        <w:pStyle w:val="BodyText"/>
        <w:rPr/>
      </w:pPr>
      <w:r>
        <w:rP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pPr>
        <w:pStyle w:val="BodyText"/>
        <w:rPr/>
      </w:pPr>
      <w:r>
        <w:rPr/>
        <w:t>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дискретизации, существенно превышающую максимальную частоту исследуемого процесса.</w:t>
      </w:r>
    </w:p>
    <w:p>
      <w:pPr>
        <w:pStyle w:val="BodyText"/>
        <w:rPr/>
      </w:pPr>
      <w:r>
        <w:rPr/>
        <w:t>На ранних этапах проекта предполагалось, что диапазон измеряемых частот может достигать нескольких мегагерц. Согласно предварительным требованиям,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Планируемый микроконтроллер серии STM32F40x может обеспечить 2.7 мега выборки в секунду в режиме оцифровки одним аналогово-цифровым преобразователем, чего критически недостаточно. В режиме «triple-ADC» максимальная скорость оцифровки — 7.2 мега 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pPr>
        <w:pStyle w:val="BodyText"/>
        <w:rPr/>
      </w:pPr>
      <w:r>
        <w:rPr/>
        <w:t>Даже если формально выполняется условие теоремы Котельникова, согласно которой частота дискретизации должна как минимум в два раза превышать максимальную частоту сигнала, для практического измерения параметров этого недостаточно. При малом количестве отсчетов на период резко снижается точность определения амплитуды и становится невозможным выполнение статистической обработки сигнала.</w:t>
      </w:r>
    </w:p>
    <w:p>
      <w:pPr>
        <w:pStyle w:val="BodyText"/>
        <w:rPr/>
      </w:pPr>
      <w:r>
        <w:rPr/>
        <w:t>Например, при частоте сигнала 3 МГц и частоте дискретизации 6 МГц на один период приходится всего два отсчета.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отсчетов на период сигнала.</w:t>
      </w:r>
    </w:p>
    <w:p>
      <w:pPr>
        <w:pStyle w:val="BodyText"/>
        <w:rPr/>
      </w:pPr>
      <w:r>
        <w:rPr/>
        <w:t xml:space="preserve">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например старый аналогово цифровой преобразователь «из телевизора» от </w:t>
      </w:r>
      <w:r>
        <w:rPr>
          <w:lang w:val="en-US"/>
        </w:rPr>
        <w:t>Analog</w:t>
      </w:r>
      <w:r>
        <w:rPr/>
        <w:t xml:space="preserve"> Devices. [19]</w:t>
      </w:r>
    </w:p>
    <w:p>
      <w:pPr>
        <w:pStyle w:val="BodyText"/>
        <w:rPr/>
      </w:pPr>
      <w:r>
        <w:rPr/>
        <w:t xml:space="preserve">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w:t>
      </w:r>
      <w:r>
        <w:rPr>
          <w:lang w:val="en-US"/>
        </w:rPr>
        <w:t>Cortex</w:t>
      </w:r>
      <w:r>
        <w:rPr/>
        <w:t>-M4) [20].</w:t>
      </w:r>
    </w:p>
    <w:p>
      <w:pPr>
        <w:pStyle w:val="BodyText"/>
        <w:rPr/>
      </w:pPr>
      <w:r>
        <w:rPr/>
        <w:t>Таким образом, переход к архитектуре полной оцифровки сигнала позволял решить сразу несколько задач. С одной стороны, обеспечивалась возможность изменения алгоритмов обработки без модификации аппаратной части устройства. С другой стороны, сохранялась вся информация об исследуемом сигнале, что открывало возможности для последующего анализа и адаптации измерительной системы к изменяющимся требованиям проекта. Недостатком такого подхода являлось увеличение требований к вычислительным ресурсам и необходимость использования высокоскоростного аналого-цифрового преобразователя, однако получаемая гибкость системы компенсировала указанные сложности.</w:t>
      </w:r>
    </w:p>
    <w:p>
      <w:pPr>
        <w:pStyle w:val="BodyText"/>
        <w:rPr/>
      </w:pPr>
      <w:r>
        <w:rPr/>
      </w:r>
    </w:p>
    <w:p>
      <w:pPr>
        <w:pStyle w:val="Heading2"/>
        <w:rPr/>
      </w:pPr>
      <w:bookmarkStart w:id="16" w:name="__RefHeading___Toc2119_3500123358"/>
      <w:bookmarkEnd w:id="16"/>
      <w:r>
        <w:rPr/>
        <w:t>2.4 Выбор метода обработки оцифрованного сигнала</w:t>
      </w:r>
    </w:p>
    <w:p>
      <w:pPr>
        <w:pStyle w:val="BodyText"/>
        <w:rPr/>
      </w:pPr>
      <w:r>
        <w:rPr/>
        <w:t>После выбора архитектуры устройства, основанной на полной оцифровке входного сигнала, возникает задача определения алгоритмов обработки полученных данных. Наличие массива отсчетов открывает возможность использования различных методов цифровой обработки сигналов, отличающихся вычислительной сложностью, требованиями к памяти и точностью получаемых результатов.</w:t>
      </w:r>
    </w:p>
    <w:p>
      <w:pPr>
        <w:pStyle w:val="BodyText"/>
        <w:rPr/>
      </w:pPr>
      <w:r>
        <w:rPr/>
        <w:t>На этапе проектирования рассматривалось несколько подходов к определению параметров периодического сигнала. Основными критериями выбора являлись точность измерений, устойчивость к шумам, объем требуемых вычислительных ресурсов и возможность реализации на выбранной аппаратной платформе.</w:t>
      </w:r>
    </w:p>
    <w:p>
      <w:pPr>
        <w:pStyle w:val="BodyText"/>
        <w:rPr/>
      </w:pPr>
      <w:r>
        <w:rPr/>
        <w:t>Одним из наиболее известных методов анализа периодических сигналов является спектральный анализ на основе быстрого преобразования Фурье. Данный метод позволяет определить частотный состав сигнала, выделить отдельные гармонические составляющие и оценить их амплитуды. Благодаря универсальности БПФ широко применяется в современных цифровых осциллографах, анализаторах спектра и системах цифровой обработки сигналов.</w:t>
      </w:r>
    </w:p>
    <w:p>
      <w:pPr>
        <w:pStyle w:val="BodyText"/>
        <w:rPr/>
      </w:pPr>
      <w:r>
        <w:rPr/>
        <w:t>Несмотря на очевидные преимущества, применение преобразования Фурье в рассматриваемой задаче имеет ряд недостатков. Для получения достаточного частотного разрешения требуется накопление значительного объема данных. Кроме того, выполнение БПФ требует существенных вычислительных ресурсов, особенно при необходимости обработки сигналов в реальном времени. Следует учитывать, что основная задача разрабатываемого устройства заключается не в анализе спектра сигнала, а в определении его основных параметров — амплитуды и частоты. Использование преобразования Фурье для решения такой задачи является избыточным и приводит к неоправданному усложнению программного обеспечения.</w:t>
      </w:r>
    </w:p>
    <w:p>
      <w:pPr>
        <w:pStyle w:val="BodyText"/>
        <w:rPr/>
      </w:pPr>
      <w:r>
        <w:rPr/>
        <w:t>Другим распространенным подходом является применение корреляционных методов. Автокорреляционная функция позволяет 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pPr>
        <w:pStyle w:val="BodyText"/>
        <w:rPr/>
      </w:pPr>
      <w:r>
        <w:rPr/>
        <w:t>Однако использование корреляционного анализа требует хранения большого массива отсчетов и выполнения значительного количества операций умножения и суммирования. При увеличении длины анализируемой выборки объем вычислений возрастает пропорционально квадрату числа отсчетов. Для высокоскоростных потоков данных такой подход становится ресурсоемким и предъявляет повышенные требования как к производительности микроконтроллера, так и к объему оперативной памяти.</w:t>
      </w:r>
    </w:p>
    <w:p>
      <w:pPr>
        <w:pStyle w:val="BodyText"/>
        <w:rPr/>
      </w:pPr>
      <w:r>
        <w:rPr/>
        <w:t>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объема вычислений и может быть реализован непосредственно во время обработки массива отсчетов.</w:t>
      </w:r>
    </w:p>
    <w:p>
      <w:pPr>
        <w:pStyle w:val="BodyText"/>
        <w:rPr/>
      </w:pPr>
      <w:r>
        <w:rP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pPr>
        <w:pStyle w:val="BodyText"/>
        <w:rPr/>
      </w:pPr>
      <w:r>
        <w:rPr/>
        <w:t>Для определения амплитуды сигнала рассматривались различные способы анализа массива отсчетов. Наиболее очевидным решением является 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отсчет способен существенно исказить результат измерения.</w:t>
      </w:r>
    </w:p>
    <w:p>
      <w:pPr>
        <w:pStyle w:val="BodyText"/>
        <w:rPr/>
      </w:pPr>
      <w:r>
        <w:rPr/>
        <w:t>Альтернативным вариантом является использование гистограммного анализа. Суть метода заключается в накоплении статистического распределения отсчетов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[15]</w:t>
      </w:r>
    </w:p>
    <w:p>
      <w:pPr>
        <w:pStyle w:val="BodyText"/>
        <w:rPr/>
      </w:pPr>
      <w:r>
        <w:rPr/>
        <w:t>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остается практически неизменным, что позволяет определять амплитуду сигнала значительно надежнее по сравнению с непосредственным поиском экстремальных значений выборки.</w:t>
      </w:r>
    </w:p>
    <w:p>
      <w:pPr>
        <w:pStyle w:val="BodyText"/>
        <w:rPr/>
      </w:pPr>
      <w:r>
        <w:rPr/>
        <w:t>Дополнительным преимуществом метода является его простота. Построение гистограммы требует только подсчета количества попаданий отсчетов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pPr>
        <w:pStyle w:val="BodyText"/>
        <w:rPr/>
      </w:pPr>
      <w:r>
        <w:rPr/>
        <w:t>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 допускаемая погрешность измерений составляет 5%, что существенно снижает требования к точности алгоритмов обработки и позволяет сосредоточиться на повышении их надежности и простоты реализации.</w:t>
      </w:r>
    </w:p>
    <w:p>
      <w:pPr>
        <w:pStyle w:val="BodyText"/>
        <w:rPr/>
      </w:pPr>
      <w:r>
        <w:rPr/>
        <w:t>По результатам сравнения рассмотренных методов было принято решение использовать комбинированный алгоритм обработки. Определение амплитуды сигнала выполняется на основе гистограммного анализа массива отсчетов. Амплитуда вычисляется по положению максимумов распределения, соответствующих верхнему и нижнему уровням исследуемого сигнала.</w:t>
      </w:r>
    </w:p>
    <w:p>
      <w:pPr>
        <w:pStyle w:val="BodyText"/>
        <w:rPr/>
      </w:pPr>
      <w:r>
        <w:rPr/>
        <w:t>Для определения частоты используется анализ переходов сигнала через центральный уровень с применением гистерезиса. Величина гистерезиса выбирается равной половине измеренной амплитуды сигнала. Такой подход позволяет значительно снизить вероятность ложных переключений под воздействием шумов и одновременно сохранить простоту алгоритма.</w:t>
      </w:r>
    </w:p>
    <w:p>
      <w:pPr>
        <w:pStyle w:val="BodyText"/>
        <w:rPr/>
      </w:pPr>
      <w:r>
        <w:rPr/>
        <w:t>В отличие от корреляционных методов и спектрального анализа, выбранный алгоритм не требует выполнения большого количества вычислений и может работать непосредственно на микроконтроллере без применения специализированных цифровых сигнальных процессоров. При этом обеспечивается достаточная точность измерений для решения поставленной задачи.</w:t>
      </w:r>
    </w:p>
    <w:p>
      <w:pPr>
        <w:pStyle w:val="BodyText"/>
        <w:rPr/>
      </w:pPr>
      <w:r>
        <w:rPr/>
        <w:t>Таким образом, проведенный анализ показал, что комбинация гистограммного определения амплитуды и измерения периода по пересечениям уровня с гистерезисом обеспечивает наиболее рациональное соотношение между точностью, вычислительной сложностью и устойчивостью к помехам. Именно данный подход был выбран в качестве основы дальнейшей разработки измерительного устройства.</w:t>
      </w:r>
    </w:p>
    <w:p>
      <w:pPr>
        <w:pStyle w:val="BodyText"/>
        <w:rPr/>
      </w:pPr>
      <w:r>
        <w:rPr/>
      </w:r>
    </w:p>
    <w:p>
      <w:pPr>
        <w:pStyle w:val="Heading2"/>
        <w:rPr/>
      </w:pPr>
      <w:r>
        <w:rPr/>
        <w:t>2.4 Выбор алгоритмов цифровой обработки сигнала</w:t>
      </w:r>
    </w:p>
    <w:p>
      <w:pPr>
        <w:pStyle w:val="BodyText"/>
        <w:rPr/>
      </w:pPr>
      <w:r>
        <w:rPr/>
        <w:t>После выбора концепции полной оцифровки сигнала возникает вопрос о способе обработки полученных данных. Сам факт наличия последовательности цифровых отсчетов не решает задачу измерения параметров сигнала. Необходимо определить алгоритмы, позволяющие извлекать из потока данных значения амплитуды и частоты в условиях воздействия помех.</w:t>
      </w:r>
    </w:p>
    <w:p>
      <w:pPr>
        <w:pStyle w:val="BodyText"/>
        <w:rPr/>
      </w:pPr>
      <w:r>
        <w:rPr/>
        <w:t>При выборе алгоритмов обработки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pPr>
        <w:pStyle w:val="BodyText"/>
        <w:rPr/>
      </w:pPr>
      <w:r>
        <w:rPr/>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pPr>
        <w:pStyle w:val="BodyText"/>
        <w:rPr/>
      </w:pPr>
      <w:r>
        <w:rP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pPr>
        <w:pStyle w:val="BodyText"/>
        <w:rPr/>
      </w:pPr>
      <w:r>
        <w:rPr/>
        <w:t>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Планируемый для использования микроконтроллер STM32F40x имеет DSP-процессор со встроенной поддержкой вычисления быстрого преобразования Фурье [20]. Однако, при измерении одной частоты использование полного спектрального анализа является избыточным.</w:t>
      </w:r>
    </w:p>
    <w:p>
      <w:pPr>
        <w:pStyle w:val="BodyText"/>
        <w:rPr/>
      </w:pPr>
      <w:r>
        <w:rPr/>
        <w:t>Другим распространенным подходом является использование методов корреляционной обработки. Частота сигнала определяется путем вычисления автокорреляционной функции и поиска максимума корреляции для различных временных сдвигов.</w:t>
      </w:r>
    </w:p>
    <w:p>
      <w:pPr>
        <w:pStyle w:val="BodyText"/>
        <w:rPr/>
      </w:pPr>
      <w:r>
        <w:rPr/>
        <w:t>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[21]</w:t>
      </w:r>
    </w:p>
    <w:p>
      <w:pPr>
        <w:pStyle w:val="BodyText"/>
        <w:rPr/>
      </w:pPr>
      <w:r>
        <w:rPr/>
        <w:t>В качестве альтернативы могут использоваться методы определения 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pPr>
        <w:pStyle w:val="BodyText"/>
        <w:rPr/>
      </w:pPr>
      <w:r>
        <w:rP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pPr>
        <w:pStyle w:val="BodyText"/>
        <w:rPr/>
      </w:pPr>
      <w:r>
        <w:rP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pPr>
        <w:pStyle w:val="BodyText"/>
        <w:rPr/>
      </w:pPr>
      <w:r>
        <w:rP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pPr>
        <w:pStyle w:val="BodyText"/>
        <w:rPr/>
      </w:pPr>
      <w:r>
        <w:rP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pPr>
        <w:pStyle w:val="BodyText"/>
        <w:rPr/>
      </w:pPr>
      <w:r>
        <w:rPr/>
        <w:t>Наиболее перспективным методом для рассматриваемой задачи является гистограммный анализ распределения отсчетов. В этом случае для накопленной выборки строится гистограмма распределения уровней сигнала. Максимумы распределения соответствуют наиболее вероятным уровням сигнала и значительно слабее подвержены влиянию случайных шумов.</w:t>
      </w:r>
    </w:p>
    <w:p>
      <w:pPr>
        <w:pStyle w:val="BodyText"/>
        <w:rPr/>
      </w:pPr>
      <w:r>
        <w:rPr/>
        <w:t>Особенно эффективно данный метод работает при анализе сигналов с ограниченным набором характерных уровней. Даже при значительном уровне шумов распределение отсчетов сохраняет выраженные максимумы, позволяющие определить амплитуду с требуемой точностью.</w:t>
      </w:r>
    </w:p>
    <w:p>
      <w:pPr>
        <w:pStyle w:val="BodyText"/>
        <w:rPr/>
      </w:pPr>
      <w:r>
        <w:rPr/>
        <w:t>Проведенный анализ показывает, что для поставленной задачи отсутствует необходимость применения сложных спектральных или корреляционных методов. Требуемая погрешность измерений составляет порядка 2%, что позволяет использовать более простые алгоритмы обработки данных. С учетом требований по быстродействию и возможности последующей модификации программного обеспечения в качестве основных методов обработки целесообразно использовать гистограммный анализ для определения амплитуды сигнала и анализ переходов через адаптивный порог с гистерезисом для определения частоты.</w:t>
      </w:r>
    </w:p>
    <w:p>
      <w:pPr>
        <w:pStyle w:val="BodyText"/>
        <w:rPr/>
      </w:pPr>
      <w:r>
        <w:rPr/>
        <w:t>После выбора алгоритмов обработки становится возможным сформулировать требования к тракту оцифровки и выполнить выбор аппаратных средств, обеспечивающих получение необходимого массива исходных данных.</w:t>
      </w:r>
    </w:p>
    <w:p>
      <w:pPr>
        <w:pStyle w:val="BodyText"/>
        <w:rPr/>
      </w:pPr>
      <w:r>
        <w:rPr/>
      </w:r>
    </w:p>
    <w:p>
      <w:pPr>
        <w:pStyle w:val="Heading2"/>
        <w:rPr/>
      </w:pPr>
      <w:r>
        <w:rPr/>
        <w:t>2.5 Выбор структуры измерительного тракта</w:t>
      </w:r>
    </w:p>
    <w:p>
      <w:pPr>
        <w:pStyle w:val="BodyText"/>
        <w:rPr/>
      </w:pPr>
      <w:r>
        <w:rP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pPr>
        <w:pStyle w:val="BodyText"/>
        <w:rPr/>
      </w:pPr>
      <w:r>
        <w:rPr/>
        <w:t>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pPr>
        <w:pStyle w:val="BodyText"/>
        <w:rPr/>
      </w:pPr>
      <w:r>
        <w:rPr/>
        <w:t>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проводить эксперименты с различными методами обработки сигнала.</w:t>
      </w:r>
    </w:p>
    <w:p>
      <w:pPr>
        <w:pStyle w:val="BodyText"/>
        <w:rPr/>
      </w:pPr>
      <w:r>
        <w:rP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pPr>
        <w:pStyle w:val="BodyText"/>
        <w:rPr/>
      </w:pPr>
      <w:r>
        <w:rP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pPr>
        <w:pStyle w:val="BodyText"/>
        <w:rPr/>
      </w:pPr>
      <w:r>
        <w:rPr/>
        <w:t>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pPr>
        <w:pStyle w:val="BodyText"/>
        <w:rPr/>
      </w:pPr>
      <w:r>
        <w:rPr/>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pPr>
        <w:pStyle w:val="BodyText"/>
        <w:rPr/>
      </w:pPr>
      <w:r>
        <w:rPr/>
        <w:t>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измерений.</w:t>
      </w:r>
    </w:p>
    <w:p>
      <w:pPr>
        <w:pStyle w:val="BodyText"/>
        <w:rPr/>
      </w:pPr>
      <w:r>
        <w:rPr/>
        <w:t xml:space="preserve">Для решения данной задачи был выбран внешний высокоскоростной аналого-цифровой преобразователь AD9057BRSZ-40 производства </w:t>
      </w:r>
      <w:r>
        <w:rPr>
          <w:lang w:val="en-US"/>
        </w:rPr>
        <w:t>Analog</w:t>
      </w:r>
      <w:r>
        <w:rPr/>
        <w:t xml:space="preserve">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pPr>
        <w:pStyle w:val="BodyText"/>
        <w:rPr/>
      </w:pPr>
      <w:r>
        <w:rP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pPr>
        <w:pStyle w:val="BodyText"/>
        <w:rPr/>
      </w:pPr>
      <w:r>
        <w:rPr/>
        <w:t>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реализацию устройства.</w:t>
      </w:r>
    </w:p>
    <w:p>
      <w:pPr>
        <w:pStyle w:val="BodyText"/>
        <w:rPr/>
      </w:pPr>
      <w:r>
        <w:rPr/>
        <w:t>Необходимо отметить, что выбранный преобразователь работает в ограниченном диапазоне входных напряжений и требует формирования 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pPr>
        <w:pStyle w:val="BodyText"/>
        <w:rPr/>
      </w:pPr>
      <w:r>
        <w:rPr/>
        <w:t>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использованию динамического диапазона аналого-цифрового преобразователя.</w:t>
      </w:r>
    </w:p>
    <w:p>
      <w:pPr>
        <w:pStyle w:val="BodyText"/>
        <w:rPr/>
      </w:pPr>
      <w:r>
        <w:rPr/>
        <w:t>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ее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pPr>
        <w:pStyle w:val="BodyText"/>
        <w:rPr/>
      </w:pPr>
      <w:r>
        <w:rP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pPr>
        <w:pStyle w:val="BodyText"/>
        <w:rPr/>
      </w:pPr>
      <w:r>
        <w:rPr/>
        <w:t>С учетом проведенного анализа была сформирована общая структура измерительного тракта, представленная на рисунке 2.5.</w:t>
      </w:r>
    </w:p>
    <w:p>
      <w:pPr>
        <w:pStyle w:val="Media"/>
        <w:rPr/>
      </w:pPr>
      <w:r>
        <w:rPr/>
      </w:r>
    </w:p>
    <w:p>
      <w:pPr>
        <w:pStyle w:val="Media"/>
        <w:rPr/>
      </w:pPr>
      <w: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4175125" cy="5551805"/>
            <wp:effectExtent l="0" t="0" r="0" b="0"/>
            <wp:wrapTopAndBottom/>
            <wp:docPr id="8"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 descr="" title=""/>
                    <pic:cNvPicPr>
                      <a:picLocks noChangeAspect="1" noChangeArrowheads="1"/>
                    </pic:cNvPicPr>
                  </pic:nvPicPr>
                  <pic:blipFill>
                    <a:blip r:embed="rId15"/>
                    <a:stretch>
                      <a:fillRect/>
                    </a:stretch>
                  </pic:blipFill>
                  <pic:spPr bwMode="auto">
                    <a:xfrm>
                      <a:off x="0" y="0"/>
                      <a:ext cx="4175125" cy="5551805"/>
                    </a:xfrm>
                    <a:prstGeom prst="rect">
                      <a:avLst/>
                    </a:prstGeom>
                  </pic:spPr>
                </pic:pic>
              </a:graphicData>
            </a:graphic>
          </wp:anchor>
        </w:drawing>
      </w:r>
      <w:r>
        <w:rPr/>
        <w:t>Рисунок 2.5.1 — Структура измерительного тракта</w:t>
      </w:r>
    </w:p>
    <w:p>
      <w:pPr>
        <w:pStyle w:val="BodyText"/>
        <w:rPr/>
      </w:pPr>
      <w:r>
        <w:rP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pPr>
        <w:pStyle w:val="BodyText"/>
        <w:rPr/>
      </w:pPr>
      <w:r>
        <w:rPr/>
      </w:r>
      <w:r>
        <w:br w:type="page"/>
      </w:r>
    </w:p>
    <w:p>
      <w:pPr>
        <w:pStyle w:val="Heading1"/>
        <w:numPr>
          <w:ilvl w:val="0"/>
          <w:numId w:val="1"/>
        </w:numPr>
        <w:spacing w:before="0" w:after="0"/>
        <w:ind w:firstLine="709"/>
        <w:rPr/>
      </w:pPr>
      <w:r>
        <w:rPr/>
        <w:t>3. ПРОВЕРКА И ПОДТВЕРЖДЕНИЕ РЕЗУЛЬТАТОВ ИССЛЕДОВАНИЯ</w:t>
      </w:r>
    </w:p>
    <w:p>
      <w:pPr>
        <w:pStyle w:val="BodyText"/>
        <w:rPr/>
      </w:pPr>
      <w:r>
        <w:rPr/>
      </w:r>
    </w:p>
    <w:p>
      <w:pPr>
        <w:pStyle w:val="Heading2"/>
        <w:rPr/>
      </w:pPr>
      <w:r>
        <w:rPr/>
        <w:t>3.1 Разработка структурной схемы устройства</w:t>
      </w:r>
    </w:p>
    <w:p>
      <w:pPr>
        <w:pStyle w:val="BodyText"/>
        <w:rPr/>
      </w:pPr>
      <w:r>
        <w:rPr/>
        <w:t>В результате анализа методов измерения параметров периодических сигналов, проведенного во второй главе, был выбран подход, основанный на полной оцифровке исследуемого сигнала с последующей цифровой обработкой массива полученных отсчетов. Данный подход обеспечивает высокую гибкость алгоритмов измерения и позволяет изменять методы обработки без модификации аппаратной части устройства.</w:t>
      </w:r>
    </w:p>
    <w:p>
      <w:pPr>
        <w:pStyle w:val="BodyText"/>
        <w:rPr/>
      </w:pPr>
      <w:r>
        <w:rPr/>
        <w:t>Основным преимуществом выбранного решения является возможность сохранения полной информации о форме сигнала. В отличие от аналоговых измерителей, формирующих только конечный результат измерения, цифровая система предоставляет доступ ко всем отсчетам аналого-цифрового преобразователя. Это позволяет применять различные методы обработки данных, изменять алгоритмы измерений и выполнять дополнительный анализ ранее записанных сигналов.</w:t>
      </w:r>
    </w:p>
    <w:p>
      <w:pPr>
        <w:pStyle w:val="BodyText"/>
        <w:rPr/>
      </w:pPr>
      <w:r>
        <w:rPr/>
        <w:t xml:space="preserve">В качестве основы измерительного тракта был выбран внешний высокоскоростной аналого-цифровой преобразователь AD9057BRSZ-40 производства компании </w:t>
      </w:r>
      <w:r>
        <w:rPr>
          <w:lang w:val="en-US"/>
        </w:rPr>
        <w:t>Analog</w:t>
      </w:r>
      <w:r>
        <w:rPr/>
        <w:t xml:space="preserve"> Devices. Несмотря на сравнительно невысокую разрядность (8 бит), данный преобразователь обеспечивает частоту дискретизации до 40 миллионов выборок в секунду при относительно невысокой стоимости и простом интерфейсе подключения. Для поставленной задачи измерения амплитуды и частоты сигналов такая разрядность является достаточной, поскольку используемые алгоритмы обработки основаны на статистическом анализе большого количества отсчетов и не требуют высокой точности восстановления мгновенного значения напряжения.</w:t>
      </w:r>
    </w:p>
    <w:p>
      <w:pPr>
        <w:pStyle w:val="BodyText"/>
        <w:rPr/>
      </w:pPr>
      <w:r>
        <w:rPr/>
        <w:t>Особенностью выбранного преобразователя является использование внутреннего опорного напряжения, относительно которого производится преобразование входного сигнала. По этой причине измерительный тракт должен обеспечивать не только фильтрацию сигнала, но и его согласование с диапазоном входных напряжений АЦП. Это накладывает дополнительные требования на аналоговую часть устройства и определяет необходимость применения специальных цепей согласования уровня.</w:t>
      </w:r>
    </w:p>
    <w:p>
      <w:pPr>
        <w:pStyle w:val="BodyText"/>
        <w:rPr/>
      </w:pPr>
      <w:r>
        <w:rPr/>
        <w:t>На основании сформулированных требований была разработана структурная схема устройства, представленная на рисунке 3.1.</w:t>
      </w:r>
    </w:p>
    <w:p>
      <w:pPr>
        <w:pStyle w:val="Media"/>
        <w:rPr/>
      </w:pPr>
      <w:r>
        <w:drawing>
          <wp:anchor behindDoc="0" distT="0" distB="0" distL="0" distR="0" simplePos="0" locked="0" layoutInCell="0" allowOverlap="1" relativeHeight="6">
            <wp:simplePos x="0" y="0"/>
            <wp:positionH relativeFrom="column">
              <wp:posOffset>2099310</wp:posOffset>
            </wp:positionH>
            <wp:positionV relativeFrom="paragraph">
              <wp:posOffset>-77470</wp:posOffset>
            </wp:positionV>
            <wp:extent cx="1637030" cy="4360545"/>
            <wp:effectExtent l="0" t="0" r="0" b="0"/>
            <wp:wrapTopAndBottom/>
            <wp:docPr id="9"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title=""/>
                    <pic:cNvPicPr>
                      <a:picLocks noChangeAspect="1" noChangeArrowheads="1"/>
                    </pic:cNvPicPr>
                  </pic:nvPicPr>
                  <pic:blipFill>
                    <a:blip r:embed="rId16"/>
                    <a:stretch>
                      <a:fillRect/>
                    </a:stretch>
                  </pic:blipFill>
                  <pic:spPr bwMode="auto">
                    <a:xfrm>
                      <a:off x="0" y="0"/>
                      <a:ext cx="1637030" cy="4360545"/>
                    </a:xfrm>
                    <a:prstGeom prst="rect">
                      <a:avLst/>
                    </a:prstGeom>
                  </pic:spPr>
                </pic:pic>
              </a:graphicData>
            </a:graphic>
          </wp:anchor>
        </w:drawing>
      </w:r>
      <w:r>
        <w:rPr/>
        <w:t>Рисунок 3.1 - структурная схема устройства</w:t>
      </w:r>
    </w:p>
    <w:p>
      <w:pPr>
        <w:pStyle w:val="BodyText"/>
        <w:rPr/>
      </w:pPr>
      <w:r>
        <w:rPr/>
        <w:t>Входные цепи предназначены для подключения исследуемого сигнала и защиты измерительного тракта от возможных перегрузок.</w:t>
      </w:r>
    </w:p>
    <w:p>
      <w:pPr>
        <w:pStyle w:val="BodyText"/>
        <w:rPr/>
      </w:pPr>
      <w:r>
        <w:rPr/>
        <w:t>После входных цепей сигнал поступает на аналоговый буфер. Основной задачей буферного каскада является исключение влияния последующих узлов схемы на источник сигнала. Использование буферного усилителя позволяет обеспечить высокое входное сопротивление устройства и сохранить форму измеряемого сигнала при подключении различных источников.</w:t>
      </w:r>
    </w:p>
    <w:p>
      <w:pPr>
        <w:pStyle w:val="BodyText"/>
        <w:rPr/>
      </w:pPr>
      <w:r>
        <w:rPr/>
        <w:t>Следующим элементом структурной схемы является полосовой фильтр. Его применение обусловлено необходимостью предварительного подавления низкочастотных и высокочастотных помех до выполнения аналого-цифрового преобразования. Нижняя граница полосы пропускания выбрана таким образом, чтобы исключить влияние постоянной составляющей и индустриальных помех промышленной сети. Верхняя граница полосы определяется диапазоном измеряемых сигналов и характеристиками используемого аналого-цифрового преобразователя.</w:t>
      </w:r>
    </w:p>
    <w:p>
      <w:pPr>
        <w:pStyle w:val="BodyText"/>
        <w:rPr/>
      </w:pPr>
      <w:r>
        <w:rPr/>
        <w:t>После фильтрации сигнал поступает в цепь согласования уровня. Данный узел обеспечивает приведение амплитуды и постоянной составляющей сигнала к диапазону входных напряжений аналого-цифрового преобразователя. Необходимость применения данного каскада обусловлена особенностями работы выбранного АЦП, который требует формирования определенного уровня смещения относительно внутреннего опорного напряжения.</w:t>
      </w:r>
    </w:p>
    <w:p>
      <w:pPr>
        <w:pStyle w:val="BodyText"/>
        <w:rPr/>
      </w:pPr>
      <w:r>
        <w:rPr/>
        <w:t>Оцифровка сигнала выполняется аналого-цифровым преобразователем AD9057BRSZ-40. Полученные цифровые отсчеты передаются в микроконтроллер STM32F407RGT6, который осуществляет накопление массива данных и выполнение алгоритмов цифровой обработки.</w:t>
      </w:r>
    </w:p>
    <w:p>
      <w:pPr>
        <w:pStyle w:val="BodyText"/>
        <w:rPr/>
      </w:pPr>
      <w:r>
        <w:rPr/>
        <w:t>В микроконтроллере реализуются алгоритмы определения амплитуды и частоты сигнала. Для оценки амплитуды используется статистическая обработка массива отсчетов, основанная на анализе распределения значений сигнала. Частота определяется путем анализа периодичности изменения сигнала во времени. Использование программной обработки позволяет изменять алгоритмы измерения без внесения изменений в аппаратную часть устройства. В целях исследования, есть так же возможность передать записанный массив результатов оцифровки на компьютер без обработки. Это необходимо для оценки точности измерений и отладки алгоритма обработки без необходимости иметь физический стенд.</w:t>
      </w:r>
    </w:p>
    <w:p>
      <w:pPr>
        <w:pStyle w:val="BodyText"/>
        <w:rPr/>
      </w:pPr>
      <w:r>
        <w:rPr/>
        <w:t>Результатом работы системы являются значения измеренных параметров сигнала, которые могут использоваться как непосредственно в составе испытательного оборудования, так и передаваться во внешние информационные системы для дальнейшего анализа.</w:t>
      </w:r>
    </w:p>
    <w:p>
      <w:pPr>
        <w:pStyle w:val="BodyText"/>
        <w:rPr/>
      </w:pPr>
      <w:r>
        <w:rPr/>
        <w:t>Таким образом, разработанная структурная схема обеспечивает разделение функций между аналоговой и цифровой частями устройства. Аналоговая часть отвечает за подготовку сигнала к преобразованию, а цифровая часть выполняет обработку полученных данных и формирование результатов измерения. Подобное построение измерительного тракта обеспечивает требуемую гибкость системы и позволяет адаптировать алгоритмы измерения к изменяющимся требованиям без модификации аппаратной части устройства.</w:t>
      </w:r>
    </w:p>
    <w:p>
      <w:pPr>
        <w:pStyle w:val="BodyText"/>
        <w:rPr/>
      </w:pPr>
      <w:r>
        <w:rPr/>
      </w:r>
    </w:p>
    <w:p>
      <w:pPr>
        <w:pStyle w:val="Heading2"/>
        <w:rPr/>
      </w:pPr>
      <w:r>
        <w:rPr/>
        <w:t>3.2 Выбор элементной базы</w:t>
      </w:r>
    </w:p>
    <w:p>
      <w:pPr>
        <w:pStyle w:val="BodyText"/>
        <w:rPr/>
      </w:pPr>
      <w:r>
        <w:rPr/>
        <w:t>После разработки структурной схемы устройства необходимо выполнить выбор элементной базы, обеспечивающей реализацию всех функциональных узлов измерительного тракта. При выборе компонентов учитывались не только технические характеристики отдельных элементов, но и возможность их совместного использования в составе единой аппаратно-программной системы.</w:t>
      </w:r>
    </w:p>
    <w:p>
      <w:pPr>
        <w:pStyle w:val="BodyText"/>
        <w:rPr/>
      </w:pPr>
      <w:r>
        <w:rPr/>
        <w:t>Следует отметить, что структура устройства, рассмотренная в предыдущем разделе, формировалась с учетом особенностей доступной элементной базы. В частности, требования к аналоговому тракту определялись характеристиками выбранного аналого-цифрового преобразователя, а возможности цифровой обработки — архитектурой используемого микроконтроллера. Таким образом, выбор компонентов и разработка структуры устройства выполнялись параллельно и оказывали взаимное влияние друг на друга.</w:t>
      </w:r>
    </w:p>
    <w:p>
      <w:pPr>
        <w:pStyle w:val="BodyText"/>
        <w:rPr/>
      </w:pPr>
      <w:r>
        <w:rPr/>
      </w:r>
    </w:p>
    <w:p>
      <w:pPr>
        <w:pStyle w:val="Heading3"/>
        <w:rPr/>
      </w:pPr>
      <w:r>
        <w:rPr/>
        <w:t>3.2.1 Выбор аналого-цифрового преобразователя</w:t>
      </w:r>
    </w:p>
    <w:p>
      <w:pPr>
        <w:pStyle w:val="BodyText"/>
        <w:rPr/>
      </w:pPr>
      <w:r>
        <w:rPr/>
        <w:t>Одним из ключевых элементов разрабатываемого устройства является аналого-цифровой преобразователь. Именно этот узел определяет максимально достижимую частоту дискретизации и, как следствие, верхнюю границу измеряемого диапазона частот.</w:t>
      </w:r>
    </w:p>
    <w:p>
      <w:pPr>
        <w:pStyle w:val="BodyText"/>
        <w:rPr/>
      </w:pPr>
      <w:r>
        <w:rPr/>
        <w:t>На этапе разработки рассматривалось несколько вариантов реализации измерительного тракта. Наиболее очевидным решением являлось использование встроенного аналого-цифрового преобразователя микроконтроллера STM32F407. Однако анализ технических характеристик показал, что производительности встроенного АЦП недостаточно для решения поставленной задачи.</w:t>
      </w:r>
    </w:p>
    <w:p>
      <w:pPr>
        <w:pStyle w:val="BodyText"/>
        <w:rPr/>
      </w:pPr>
      <w:r>
        <w:rPr/>
        <w:t>Первоначально техническое задание предусматривало возможность измерения сигналов с частотой до нескольких мегагерц. При таких частотах количество отсчетов на период сигнала, получаемое встроенным АЦП микроконтроллера, оказывается недостаточным для устойчивой работы алгоритмов определения частоты и амплитуды. Кроме того, наличие запаса по частоте дискретизации повышает устойчивость измерений в условиях воздействия шумов и позволяет использовать более сложные алгоритмы цифровой обработки.</w:t>
      </w:r>
    </w:p>
    <w:p>
      <w:pPr>
        <w:pStyle w:val="BodyText"/>
        <w:rPr/>
      </w:pPr>
      <w:r>
        <w:rPr/>
        <w:t xml:space="preserve">В ходе рабочих совещаний было принято решение использовать внешний высокоскоростной аналого-цифровой преобразователь AD9057BRSZ-40 производства компании </w:t>
      </w:r>
      <w:r>
        <w:rPr>
          <w:lang w:val="en-US"/>
        </w:rPr>
        <w:t>Analog</w:t>
      </w:r>
      <w:r>
        <w:rPr/>
        <w:t xml:space="preserve"> Devices.</w:t>
      </w:r>
    </w:p>
    <w:p>
      <w:pPr>
        <w:pStyle w:val="BodyText"/>
        <w:rPr/>
      </w:pPr>
      <w:r>
        <w:rPr/>
        <w:t>Выбор данного преобразователя был обусловлен несколькими факторами.</w:t>
      </w:r>
    </w:p>
    <w:p>
      <w:pPr>
        <w:pStyle w:val="BodyText"/>
        <w:rPr/>
      </w:pPr>
      <w:r>
        <w:rPr/>
        <w:t>Во-первых, AD9057BRSZ-40 обеспечивает частоту дискретизации до 40 миллионов выборок в секунду, что существенно превышает требования проекта и создает необходимый запас производительности для дальнейшего развития алгоритмов обработки. Стоит отметить, что максимальная производительность этого АЦП избыточна (микроконтроллер не сможет принять больше 21 мега выборки из-за аппаратных ограничений), однако это не мешает ему работать и на более низких частотах.</w:t>
      </w:r>
    </w:p>
    <w:p>
      <w:pPr>
        <w:pStyle w:val="BodyText"/>
        <w:rPr/>
      </w:pPr>
      <w:r>
        <w:rPr/>
        <w:t>Во-вторых, преобразователь обладает относительно простой схемой включения. Для его работы требуется только источник тактовой частоты, цепи формирования опорного напряжения и согласования входного сигнала. Отсутствие сложных высокоскоростных последовательных интерфейсов значительно упрощает проектирование печатной платы и программного обеспечения.</w:t>
      </w:r>
    </w:p>
    <w:p>
      <w:pPr>
        <w:pStyle w:val="BodyText"/>
        <w:rPr/>
      </w:pPr>
      <w:r>
        <w:rPr/>
        <w:t>В-третьих, важным фактором стала стоимость компонента. На момент разработки стоимость AD9057BRSZ-40 составляла порядка 700 рублей, что значительно ниже стоимости современных высокоскоростных аналого-цифровых преобразователей сопоставимого класса.</w:t>
      </w:r>
    </w:p>
    <w:p>
      <w:pPr>
        <w:pStyle w:val="BodyText"/>
        <w:rPr/>
      </w:pPr>
      <w:r>
        <w:rPr/>
        <w:t>Отдельного внимания заслуживает способ подключения преобразователя к микроконтроллеру. В отличие от программируемых логических интегральных схем, микроконтроллер обладает ограниченным набором аппаратных интерфейсов для подключения внешних высокоскоростных устройств.</w:t>
      </w:r>
    </w:p>
    <w:p>
      <w:pPr>
        <w:pStyle w:val="BodyText"/>
        <w:rPr/>
      </w:pPr>
      <w:r>
        <w:rPr/>
        <w:t>В составе STM32F407 имеются специализированные интерфейсы QSPI (SDIO), FSMC и DCMI, предназначенные соответственно для работы с внешней памятью, статическими запоминающими устройствами и цифровыми видеокамерами. Однако электрические характеристики и протоколы работы указанных интерфейсов не позволяют напрямую использовать их для подключения выбранного аналого-цифрового преобразователя.</w:t>
      </w:r>
    </w:p>
    <w:p>
      <w:pPr>
        <w:pStyle w:val="BodyText"/>
        <w:rPr/>
      </w:pPr>
      <w:r>
        <w:rPr/>
        <w:t>По этой причине было принято решение использовать прямое подключение восьмиразрядной шины данных АЦП к выводам общего назначения микроконтроллера. Считывание данных осуществляется средствами контроллера прямого доступа к памяти (DMA), синхронизированного с аппаратным таймером.</w:t>
      </w:r>
    </w:p>
    <w:p>
      <w:pPr>
        <w:pStyle w:val="BodyText"/>
        <w:rPr/>
      </w:pPr>
      <w:r>
        <w:rPr/>
        <w:t>Анализ архитектуры микроконтроллера показал, что используемая шина периферии обеспечивает достаточную пропускную способность для реализации подобного подхода. В результате была выбрана рабочая частота дискретизации 18,6 МГц, обеспечивающая надежное получение данных без перегрузки внутренних шин микроконтроллера и без нарушения работы остальных периферийных устройств.</w:t>
      </w:r>
    </w:p>
    <w:p>
      <w:pPr>
        <w:pStyle w:val="BodyText"/>
        <w:rPr/>
      </w:pPr>
      <w:r>
        <w:rPr/>
        <w:t>Таким образом, использование AD9057BRSZ-40 позволило получить высокую частоту дискретизации при минимальной сложности аппаратной реализации и приемлемой стоимости устройства.</w:t>
      </w:r>
    </w:p>
    <w:p>
      <w:pPr>
        <w:pStyle w:val="BodyText"/>
        <w:rPr/>
      </w:pPr>
      <w:r>
        <w:rPr/>
        <w:t>Необходимо отметить еще одну особенность выбранного преобразователя. В отличие от большинства современных АЦП, работающих относительно общего провода схемы, AD9057BRSZ-40 использует внутреннее опорное напряжение и требует смещения входного сигнала относительно определенного уровня постоянного напряжения. Вследствие этого в состав измерительного тракта были включены дополнительные узлы согласования аналогового уровня сигнала, рассмотренные далее при описании электрической схемы устройства.</w:t>
      </w:r>
    </w:p>
    <w:p>
      <w:pPr>
        <w:pStyle w:val="BodyText"/>
        <w:rPr/>
      </w:pPr>
      <w:r>
        <w:rPr/>
      </w:r>
    </w:p>
    <w:p>
      <w:pPr>
        <w:pStyle w:val="Heading3"/>
        <w:rPr/>
      </w:pPr>
      <w:r>
        <w:rPr/>
        <w:t>3.2.2 Выбор операционных усилителей</w:t>
      </w:r>
    </w:p>
    <w:p>
      <w:pPr>
        <w:pStyle w:val="BodyText"/>
        <w:rPr/>
      </w:pPr>
      <w:r>
        <w:rPr/>
        <w:t>Для реализации аналоговой части измерительного тракта были выбраны сдвоенные операционные усилители AD823ARZ.</w:t>
      </w:r>
    </w:p>
    <w:p>
      <w:pPr>
        <w:pStyle w:val="BodyText"/>
        <w:rPr/>
      </w:pPr>
      <w:r>
        <w:rPr/>
        <w:t>Необходимость применения высокоскоростных операционных усилителей обусловлена диапазоном частот исследуемых сигналов. Входной буфер, полосовой фильтр и каскад согласования уровня должны обеспечивать передачу сигнала без существенного изменения его амплитуды и формы во всем рабочем диапазоне частот.</w:t>
      </w:r>
    </w:p>
    <w:p>
      <w:pPr>
        <w:pStyle w:val="BodyText"/>
        <w:rPr/>
      </w:pPr>
      <w:r>
        <w:rPr/>
        <w:t>Операционный усилитель AD823ARZ обладает полосой единичного усиления 16 МГц, что позволяет использовать его в составе активных фильтров и буферных каскадов при работе с сигналами частотой до нескольких мегагерц. Дополнительным преимуществом является использование полевых транзисторов на входе усилителя, обеспечивающих высокое входное сопротивление и минимальную нагрузку на предыдущие каскады схемы.</w:t>
      </w:r>
    </w:p>
    <w:p>
      <w:pPr>
        <w:pStyle w:val="BodyText"/>
        <w:rPr/>
      </w:pPr>
      <w:r>
        <w:rPr/>
        <w:t>Важной особенностью выбранного усилителя является поддержка режима Rail-to-Rail. Данная функция позволяет формировать выходное напряжение в широком диапазоне значений, близком к напряжениям питания, что упрощает построение схем согласования уровня и позволяет эффективнее использовать динамический диапазон аналого-цифрового преобразователя.</w:t>
      </w:r>
    </w:p>
    <w:p>
      <w:pPr>
        <w:pStyle w:val="BodyText"/>
        <w:rPr/>
      </w:pPr>
      <w:r>
        <w:rPr/>
        <w:t>Для обеспечения необходимых параметров аналоговой части устройства операционные усилители питаются от двухполярного источника напряжения. Использование симметричного питания позволяет исключить дополнительные ограничения по амплитуде сигнала и упрощает построение активных фильтров.</w:t>
      </w:r>
    </w:p>
    <w:p>
      <w:pPr>
        <w:pStyle w:val="BodyText"/>
        <w:rPr/>
      </w:pPr>
      <w:r>
        <w:rPr/>
      </w:r>
    </w:p>
    <w:p>
      <w:pPr>
        <w:pStyle w:val="Heading3"/>
        <w:rPr/>
      </w:pPr>
      <w:r>
        <w:rPr/>
        <w:t>3.2.3 Выбор пассивных компонентов</w:t>
      </w:r>
    </w:p>
    <w:p>
      <w:pPr>
        <w:pStyle w:val="BodyText"/>
        <w:rPr/>
      </w:pPr>
      <w:r>
        <w:rPr/>
        <w:t>Параметры аналогового тракта в значительной степени определяются точностью используемых резисторов и конденсаторов. Поскольку схема содержит активные фильтры и каскады согласования уровня, отклонение номиналов компонентов непосредственно влияет на характеристики устройства.</w:t>
      </w:r>
    </w:p>
    <w:p>
      <w:pPr>
        <w:pStyle w:val="BodyText"/>
        <w:rPr/>
      </w:pPr>
      <w:r>
        <w:rPr/>
        <w:t>В проекте использовались резисторы с допуском не хуже 1 % от номинального значения. Такой выбор обеспечивает достаточную повторяемость характеристик фильтров и исключает необходимость индивидуальной настройки каждого экземпляра устройства после сборки.</w:t>
      </w:r>
    </w:p>
    <w:p>
      <w:pPr>
        <w:pStyle w:val="BodyText"/>
        <w:rPr/>
      </w:pPr>
      <w:r>
        <w:rPr/>
        <w:t>При проектировании схемы также учитывались особенности работы высокоомных цепей. Практика разработки аналоговых устройств показывает, что использование резисторов большого номинала повышает чувствительность схемы к паразитным токам утечки, электромагнитным наводкам и технологическому разбросу параметров компонентов.</w:t>
      </w:r>
    </w:p>
    <w:p>
      <w:pPr>
        <w:pStyle w:val="BodyText"/>
        <w:rPr/>
      </w:pPr>
      <w:r>
        <w:rPr/>
        <w:t>По этой причине при выборе номиналов предпочтение отдавалось резисторам сопротивлением менее 100 кОм. Такой подход позволил повысить стабильность характеристик аналогового тракта и снизить влияние внешних факторов на результаты измерений.</w:t>
      </w:r>
    </w:p>
    <w:p>
      <w:pPr>
        <w:pStyle w:val="BodyText"/>
        <w:rPr/>
      </w:pPr>
      <w:r>
        <w:rPr/>
      </w:r>
    </w:p>
    <w:p>
      <w:pPr>
        <w:pStyle w:val="Heading2"/>
        <w:rPr/>
      </w:pPr>
      <w:r>
        <w:rPr/>
        <w:t>3.3 Разработка электрической принципиальной схемы устройства</w:t>
      </w:r>
    </w:p>
    <w:p>
      <w:pPr>
        <w:pStyle w:val="BodyText"/>
        <w:rPr/>
      </w:pPr>
      <w:r>
        <w:rPr/>
        <w:t>На основании структурной схемы, разработанной в предыдущем разделе, была выполнена разработка электрической принципиальной схемы устройства, показанная на рисунке 3.2. Схема формирования питаний приведена на рисунке 3.3. Основной задачей являлось обеспечение корректного преобразования входного сигнала в форму, пригодную для последующей оцифровки высокоскоростным аналого-цифровым преобразователем. При этом необходимо было обеспечить подавление постоянной составляющей сигнала, ограничение полосы пропускания измерительного тракта и согласование уровней напряжения с требованиями используемого АЦП.</w:t>
      </w:r>
    </w:p>
    <w:p>
      <w:pPr>
        <w:pStyle w:val="BodyText"/>
        <w:rPr/>
      </w:pPr>
      <w:r>
        <w:rPr/>
        <w:t>Измеряемый сигнал поступает на входной буферный каскад, выполненный на операционном усилителе DA2.1. Использование буферного усилителя позволяет исключить влияние последующих каскадов на источник сигнала и обеспечить высокое входное сопротивление устройства. Дополнительно выход данного каскада подключен к отдельному разъему, предназначенному для подключения внешнего осциллографа. Такое решение позволяет проводить отладку и контроль прохождения сигнала через измерительный тракт без внесения изменений в схему устройства.</w:t>
      </w:r>
    </w:p>
    <w:p>
      <w:pPr>
        <w:pStyle w:val="Media"/>
        <w:rPr/>
      </w:pPr>
      <w: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5940425" cy="2622550"/>
            <wp:effectExtent l="0" t="0" r="0" b="0"/>
            <wp:wrapTopAndBottom/>
            <wp:docPr id="10"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 descr="" title=""/>
                    <pic:cNvPicPr>
                      <a:picLocks noChangeAspect="1" noChangeArrowheads="1"/>
                    </pic:cNvPicPr>
                  </pic:nvPicPr>
                  <pic:blipFill>
                    <a:blip r:embed="rId17"/>
                    <a:stretch>
                      <a:fillRect/>
                    </a:stretch>
                  </pic:blipFill>
                  <pic:spPr bwMode="auto">
                    <a:xfrm>
                      <a:off x="0" y="0"/>
                      <a:ext cx="5940425" cy="2622550"/>
                    </a:xfrm>
                    <a:prstGeom prst="rect">
                      <a:avLst/>
                    </a:prstGeom>
                  </pic:spPr>
                </pic:pic>
              </a:graphicData>
            </a:graphic>
          </wp:anchor>
        </w:drawing>
      </w:r>
      <w:r>
        <w:rPr/>
        <w:t>Рисунок 3.2 - схема электрическая принципиальная измерительного тракта</w:t>
      </w:r>
    </w:p>
    <w:p>
      <w:pPr>
        <w:pStyle w:val="Media"/>
        <w:rPr/>
      </w:pPr>
      <w:r>
        <w:drawing>
          <wp:anchor behindDoc="0" distT="0" distB="0" distL="0" distR="0" simplePos="0" locked="0" layoutInCell="0" allowOverlap="1" relativeHeight="7">
            <wp:simplePos x="0" y="0"/>
            <wp:positionH relativeFrom="column">
              <wp:align>center</wp:align>
            </wp:positionH>
            <wp:positionV relativeFrom="paragraph">
              <wp:posOffset>-12065</wp:posOffset>
            </wp:positionV>
            <wp:extent cx="5927090" cy="2338705"/>
            <wp:effectExtent l="0" t="0" r="0" b="0"/>
            <wp:wrapTopAndBottom/>
            <wp:docPr id="1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descr="" title=""/>
                    <pic:cNvPicPr>
                      <a:picLocks noChangeAspect="1" noChangeArrowheads="1"/>
                    </pic:cNvPicPr>
                  </pic:nvPicPr>
                  <pic:blipFill>
                    <a:blip r:embed="rId18"/>
                    <a:stretch>
                      <a:fillRect/>
                    </a:stretch>
                  </pic:blipFill>
                  <pic:spPr bwMode="auto">
                    <a:xfrm>
                      <a:off x="0" y="0"/>
                      <a:ext cx="5927090" cy="2338705"/>
                    </a:xfrm>
                    <a:prstGeom prst="rect">
                      <a:avLst/>
                    </a:prstGeom>
                  </pic:spPr>
                </pic:pic>
              </a:graphicData>
            </a:graphic>
          </wp:anchor>
        </w:drawing>
      </w:r>
      <w:r>
        <w:rPr/>
        <w:t>Рисунок 3.3 — схема электрическая принципиальная цепей питания устройства</w:t>
      </w:r>
    </w:p>
    <w:p>
      <w:pPr>
        <w:pStyle w:val="BodyText"/>
        <w:rPr/>
      </w:pPr>
      <w:r>
        <w:rPr/>
        <w:t>После входного буфера сигнал поступает на делитель напряжения, который обеспечивает приведение амплитуды сигнала к диапазону, допустимому для дальнейшей обработки. Необходимость применения делителя обусловлена как ограничениями последующих каскадов, так и требованиями к максимальному входному напряжению аналого-цифрового преобразователя.</w:t>
      </w:r>
    </w:p>
    <w:p>
      <w:pPr>
        <w:pStyle w:val="BodyText"/>
        <w:rPr/>
      </w:pPr>
      <w:r>
        <w:rPr/>
        <w:t>Следующим функциональным узлом является предварительный буферный каскад на операционном усилителе DA1.1. Его назначение заключается в развязке входного делителя и активного полосового фильтра. Благодаря этому параметры фильтра определяются только номиналами его собственных элементов и практически не зависят от характеристик предыдущих каскадов.</w:t>
      </w:r>
    </w:p>
    <w:p>
      <w:pPr>
        <w:pStyle w:val="BodyText"/>
        <w:rPr/>
      </w:pPr>
      <w:r>
        <w:rPr/>
        <w:t>Основную обработку сигнала выполняет активный полосовой фильтр, реализованный на операционных усилителях DA1.2 и DA4.1. При разработке устройства было принято решение ограничить рабочую полосу частот диапазоном от 10 кГц до 1 МГц. Нижняя граница полосы обеспечивает эффективное подавление постоянной составляющей и низкочастотных индустриальных помех, в том числе наводок от сети электропитания частотой 50 Гц и ее гармоник. Верхняя граница полосы выбрана исходя из требований к измеряемым сигналам и одновременно позволяет снизить влияние высокочастотных помех, находящихся за пределами рабочего диапазона.</w:t>
      </w:r>
    </w:p>
    <w:p>
      <w:pPr>
        <w:pStyle w:val="BodyText"/>
        <w:rPr/>
      </w:pPr>
      <w:r>
        <w:rPr/>
        <w:t>Следует отметить, что на этапе проектирования предполагалось использование устройства для исследования сигналов с частотой до нескольких мегагерц. По этой причине при выборе операционных усилителей особое внимание уделялось их полосе пропускания и скорости нарастания выходного напряжения. Применение активного фильтра позволило реализовать требуемые характеристики без использования индуктивных элементов, что существенно упростило изготовление устройства и повысило повторяемость параметров между экземплярами.</w:t>
      </w:r>
    </w:p>
    <w:p>
      <w:pPr>
        <w:pStyle w:val="BodyText"/>
        <w:rPr/>
      </w:pPr>
      <w:r>
        <w:rPr/>
        <w:t>После прохождения полосового фильтра сигнал поступает в узел согласования уровней, выполненный на операционном усилителе DA4.2. Необходимость данного узла определяется особенностями используемого аналого-цифрового преобразователя AD9057BRSZ-40. В отличие от большинства современных АЦП, работающих в диапазоне от нуля до напряжения питания, данный преобразователь использует внутреннее опорное напряжение и измеряет отклонение сигнала относительно заданного уровня. Для корректной работы преобразователя входной сигнал должен располагаться внутри ограниченного диапазона напряжений и иметь определенное смещение относительно опорного уровня.</w:t>
      </w:r>
    </w:p>
    <w:p>
      <w:pPr>
        <w:pStyle w:val="BodyText"/>
        <w:rPr/>
      </w:pPr>
      <w:r>
        <w:rPr/>
        <w:t>По этой причине в схеме реализован каскад смещения постоянной составляющей, который переносит центр входного сигнала в рабочую область преобразователя. В результате даже при отсутствии входного сигнала на входе АЦП присутствует постоянный уровень, соответствующий середине диапазона преобразования. Положительные и отрицательные отклонения измеряемого сигнала преобразуются в увеличение или уменьшение цифрового кода относительно этого центрального значения.</w:t>
      </w:r>
    </w:p>
    <w:p>
      <w:pPr>
        <w:pStyle w:val="BodyText"/>
        <w:rPr/>
      </w:pPr>
      <w:r>
        <w:rPr/>
        <w:t>С выхода каскада согласования сигнал поступает непосредственно на вход аналого-цифрового преобразователя AD9057BRSZ-40. Полученные цифровые данные передаются в микроконтроллер STM32F407 по восьмиразрядной параллельной шине. Для формирования тактовых сигналов преобразователя используется встроенный таймер микроконтроллера, а перенос результатов преобразования в оперативную память выполняется средствами прямого доступа к памяти (DMA). Такой подход позволяет организовать непрерывный поток выборок в реальном времени и исключает неравномерность периодов чтения оцифрованных данных. В целом, на таких высоких скоростях и в реальном времени не представляется возможным применить чтение оцифрованных данных без DMA контроллера.</w:t>
      </w:r>
    </w:p>
    <w:p>
      <w:pPr>
        <w:pStyle w:val="BodyText"/>
        <w:rPr/>
      </w:pPr>
      <w:r>
        <w:rPr/>
        <w:t>Таким образом, разработанная электрическая схема реализует полный тракт преобразования измеряемого сигнала: от входного буферирования и аналоговой фильтрации до оцифровки и передачи данных в микроконтроллер. Примененная структура позволяет совместить аппаратное подавление основных помех с возможностью дальнейшей программной обработки, что соответствует требованиям, сформулированным в предыдущих главах работы.</w:t>
      </w:r>
    </w:p>
    <w:p>
      <w:pPr>
        <w:pStyle w:val="BodyText"/>
        <w:rPr/>
      </w:pPr>
      <w:r>
        <w:rPr/>
      </w:r>
    </w:p>
    <w:p>
      <w:pPr>
        <w:pStyle w:val="Heading2"/>
        <w:rPr/>
      </w:pPr>
      <w:r>
        <w:rPr/>
        <w:t>3.4 Расчет потребляемой мощности устройства</w:t>
      </w:r>
    </w:p>
    <w:p>
      <w:pPr>
        <w:pStyle w:val="BodyText"/>
        <w:rPr/>
      </w:pPr>
      <w:r>
        <w:rPr/>
        <w:t>При разработке электронных устройств важным параметром является потребляемая мощность. От данного параметра зависит выбор источника питания, температурный режим работы устройства и необходимость применения дополнительных средств охлаждения.</w:t>
      </w:r>
    </w:p>
    <w:p>
      <w:pPr>
        <w:pStyle w:val="BodyText"/>
        <w:rPr/>
      </w:pPr>
      <w:r>
        <w:rPr/>
        <w:t>Точное определение потребляемой мощности возможно только экспериментальным путем после изготовления устройства и проведения измерений в различных режимах работы. На этапе проектирования выполняется оценочный расчет по максимальным значениям токов потребления, приведенным в технической документации на используемые компоненты. Такой подход позволяет получить верхнюю границу энергопотребления и оценить тепловой режим устройства с некоторым запасом.</w:t>
      </w:r>
    </w:p>
    <w:p>
      <w:pPr>
        <w:pStyle w:val="BodyText"/>
        <w:rPr/>
      </w:pPr>
      <w:r>
        <w:rPr/>
        <w:t>Основными потребителями энергии в разработанном устройстве являются микроконтроллер STM32F407VET6, аналого-цифровой преобразователь AD9057BRSZ-40, операционные усилители AD823ARZ, а также линейные стабилизаторы напряжения.</w:t>
      </w:r>
    </w:p>
    <w:p>
      <w:pPr>
        <w:pStyle w:val="BodyText"/>
        <w:rPr/>
      </w:pPr>
      <w:r>
        <w:rPr/>
      </w:r>
    </w:p>
    <w:p>
      <w:pPr>
        <w:pStyle w:val="Heading3"/>
        <w:rPr/>
      </w:pPr>
      <w:r>
        <w:rPr/>
        <w:t>3.4.1. Расчет мощности микроконтроллера</w:t>
      </w:r>
    </w:p>
    <w:p>
      <w:pPr>
        <w:pStyle w:val="BodyText"/>
        <w:rPr/>
      </w:pPr>
      <w:r>
        <w:rPr/>
        <w:t>Питание микроконтроллера осуществляется напряжением 3,3 В от линейного стабилизатора, подключенного к шине +5 В. Согласно технической документации, максимальный потребляемый ток составляет 150 мА.</w:t>
      </w:r>
    </w:p>
    <w:p>
      <w:pPr>
        <w:pStyle w:val="BodyText"/>
        <w:rPr/>
      </w:pPr>
      <w:r>
        <w:rPr/>
        <w:t>Мощность, потребляемая от источника +5 В с учетом потерь на линейном стабилизаторе, определяется выражением:</w:t>
      </w:r>
    </w:p>
    <w:p>
      <w:pPr>
        <w:pStyle w:val="BodyText"/>
        <w:rPr/>
      </w:pPr>
      <w:r>
        <w:rPr/>
      </w:r>
      <m:oMath xmlns:m="http://schemas.openxmlformats.org/officeDocument/2006/math">
        <m:sSub>
          <m:e>
            <m:r>
              <m:t xml:space="preserve">P</m:t>
            </m:r>
          </m:e>
          <m:sub>
            <m:r>
              <m:t xml:space="preserve">MCU</m:t>
            </m:r>
          </m:sub>
        </m:sSub>
        <m:r>
          <m:t xml:space="preserve">=</m:t>
        </m:r>
        <m:sSub>
          <m:e>
            <m:r>
              <m:t xml:space="preserve">U</m:t>
            </m:r>
          </m:e>
          <m:sub>
            <m:r>
              <m:rPr>
                <m:lit/>
                <m:nor/>
              </m:rPr>
              <m:t xml:space="preserve">IN</m:t>
            </m:r>
          </m:sub>
        </m:sSub>
        <m:r>
          <m:t xml:space="preserve">∗</m:t>
        </m:r>
        <m:sSub>
          <m:e>
            <m:r>
              <m:t xml:space="preserve">I</m:t>
            </m:r>
          </m:e>
          <m:sub>
            <m:r>
              <m:t xml:space="preserve">MCU</m:t>
            </m:r>
          </m:sub>
        </m:sSub>
      </m:oMath>
      <w:r>
        <w:rPr/>
        <w:t>, где</w:t>
      </w:r>
    </w:p>
    <w:p>
      <w:pPr>
        <w:pStyle w:val="BodyText"/>
        <w:rPr/>
      </w:pPr>
      <w:r>
        <w:rPr/>
        <w:t>- P</w:t>
      </w:r>
      <w:r>
        <w:rPr>
          <w:vertAlign w:val="subscript"/>
        </w:rPr>
        <w:t>MCU</w:t>
      </w:r>
      <w:r>
        <w:rPr/>
        <w:t xml:space="preserve"> - потребляемая мощность, Вт;</w:t>
      </w:r>
    </w:p>
    <w:p>
      <w:pPr>
        <w:pStyle w:val="BodyText"/>
        <w:rPr/>
      </w:pPr>
      <w:r>
        <w:rPr/>
        <w:t>- U</w:t>
      </w:r>
      <w:r>
        <w:rPr>
          <w:vertAlign w:val="subscript"/>
        </w:rPr>
        <w:t>IN</w:t>
      </w:r>
      <w:r>
        <w:rPr/>
        <w:t xml:space="preserve"> - входное напряжение стабилизатора, В;</w:t>
      </w:r>
    </w:p>
    <w:p>
      <w:pPr>
        <w:pStyle w:val="BodyText"/>
        <w:rPr/>
      </w:pPr>
      <w:r>
        <w:rPr/>
        <w:t>- I</w:t>
      </w:r>
      <w:r>
        <w:rPr>
          <w:vertAlign w:val="subscript"/>
        </w:rPr>
        <w:t>MCU</w:t>
      </w:r>
      <w:r>
        <w:rPr/>
        <w:t xml:space="preserve"> - ток потребления микроконтроллера, А.</w:t>
      </w:r>
    </w:p>
    <w:p>
      <w:pPr>
        <w:pStyle w:val="BodyText"/>
        <w:rPr/>
      </w:pPr>
      <w:r>
        <w:rPr/>
        <w:t xml:space="preserve">Подставляя значения: </w:t>
      </w:r>
      <w:r>
        <w:rPr/>
      </w:r>
      <m:oMath xmlns:m="http://schemas.openxmlformats.org/officeDocument/2006/math">
        <m:sSub>
          <m:e>
            <m:r>
              <m:t xml:space="preserve">P</m:t>
            </m:r>
          </m:e>
          <m:sub>
            <m:r>
              <m:t xml:space="preserve">MCU</m:t>
            </m:r>
          </m:sub>
        </m:sSub>
        <m:r>
          <m:t xml:space="preserve">=</m:t>
        </m:r>
        <m:r>
          <m:t xml:space="preserve">5</m:t>
        </m:r>
        <m:r>
          <m:t xml:space="preserve">∗</m:t>
        </m:r>
        <m:r>
          <m:t xml:space="preserve">0.15</m:t>
        </m:r>
        <m:r>
          <m:t xml:space="preserve">=</m:t>
        </m:r>
        <m:r>
          <m:t xml:space="preserve">0.75</m:t>
        </m:r>
      </m:oMath>
      <w:r>
        <w:rPr/>
        <w:t xml:space="preserve"> Вт.</w:t>
      </w:r>
    </w:p>
    <w:p>
      <w:pPr>
        <w:pStyle w:val="BodyText"/>
        <w:rPr/>
      </w:pPr>
      <w:r>
        <w:rPr/>
        <w:t>Таким образом, максимальная мощность, потребляемая узлом микроконтроллера, составляет 0.75 Вт.</w:t>
      </w:r>
    </w:p>
    <w:p>
      <w:pPr>
        <w:pStyle w:val="BodyText"/>
        <w:rPr/>
      </w:pPr>
      <w:r>
        <w:rPr/>
      </w:r>
    </w:p>
    <w:p>
      <w:pPr>
        <w:pStyle w:val="Heading3"/>
        <w:rPr/>
      </w:pPr>
      <w:r>
        <w:rPr/>
        <w:t>3.4.2. Расчет мощности аналого-цифрового преобразователя</w:t>
      </w:r>
    </w:p>
    <w:p>
      <w:pPr>
        <w:pStyle w:val="BodyText"/>
        <w:rPr/>
      </w:pPr>
      <w:r>
        <w:rPr/>
        <w:t>АЦП AD9057 использует две линии питания: аналоговую и цифровую. Максимальный ток аналоговой части составляет 48 мА, цифровой части — 6,5 мА. Суммарный ток определяется выражением:</w:t>
      </w:r>
    </w:p>
    <w:p>
      <w:pPr>
        <w:pStyle w:val="BodyText"/>
        <w:rPr/>
      </w:pPr>
      <w:r>
        <w:rPr/>
      </w:r>
      <m:oMath xmlns:m="http://schemas.openxmlformats.org/officeDocument/2006/math">
        <m:sSub>
          <m:e>
            <m:r>
              <m:t xml:space="preserve">I</m:t>
            </m:r>
          </m:e>
          <m:sub>
            <m:r>
              <m:t xml:space="preserve">ADC</m:t>
            </m:r>
          </m:sub>
        </m:sSub>
        <m:r>
          <m:t xml:space="preserve">=</m:t>
        </m:r>
        <m:sSub>
          <m:e>
            <m:r>
              <m:t xml:space="preserve">I</m:t>
            </m:r>
          </m:e>
          <m:sub>
            <m:r>
              <m:t xml:space="preserve">AVD</m:t>
            </m:r>
          </m:sub>
        </m:sSub>
        <m:r>
          <m:t xml:space="preserve">+</m:t>
        </m:r>
        <m:sSub>
          <m:e>
            <m:r>
              <m:t xml:space="preserve">I</m:t>
            </m:r>
          </m:e>
          <m:sub>
            <m:r>
              <m:t xml:space="preserve">AVDD</m:t>
            </m:r>
          </m:sub>
        </m:sSub>
      </m:oMath>
      <w:r>
        <w:rPr/>
        <w:t>, где:</w:t>
      </w:r>
    </w:p>
    <w:p>
      <w:pPr>
        <w:pStyle w:val="BodyText"/>
        <w:rPr/>
      </w:pPr>
      <w:r>
        <w:rPr/>
        <w:t>- I</w:t>
      </w:r>
      <w:r>
        <w:rPr>
          <w:vertAlign w:val="subscript"/>
        </w:rPr>
        <w:t>ADC</w:t>
      </w:r>
      <w:r>
        <w:rPr/>
        <w:t xml:space="preserve"> - суммарный ток потребления АЦП;</w:t>
      </w:r>
    </w:p>
    <w:p>
      <w:pPr>
        <w:pStyle w:val="BodyText"/>
        <w:rPr/>
      </w:pPr>
      <w:r>
        <w:rPr/>
        <w:t>- I</w:t>
      </w:r>
      <w:r>
        <w:rPr>
          <w:vertAlign w:val="subscript"/>
        </w:rPr>
        <w:t>AVD</w:t>
      </w:r>
      <w:r>
        <w:rPr/>
        <w:t xml:space="preserve"> - ток аналоговой части;</w:t>
      </w:r>
    </w:p>
    <w:p>
      <w:pPr>
        <w:pStyle w:val="BodyText"/>
        <w:rPr/>
      </w:pPr>
      <w:r>
        <w:rPr/>
        <w:t>- I</w:t>
      </w:r>
      <w:r>
        <w:rPr>
          <w:vertAlign w:val="subscript"/>
        </w:rPr>
        <w:t>AVDD</w:t>
      </w:r>
      <w:r>
        <w:rPr/>
        <w:t xml:space="preserve"> - ток цифровой части.</w:t>
      </w:r>
    </w:p>
    <w:p>
      <w:pPr>
        <w:pStyle w:val="BodyText"/>
        <w:rPr/>
      </w:pPr>
      <w:r>
        <w:rPr/>
        <w:t xml:space="preserve">Подставляя значения: </w:t>
      </w:r>
      <w:r>
        <w:rPr/>
      </w:r>
      <m:oMath xmlns:m="http://schemas.openxmlformats.org/officeDocument/2006/math">
        <m:sSub>
          <m:e>
            <m:r>
              <m:t xml:space="preserve">I</m:t>
            </m:r>
          </m:e>
          <m:sub>
            <m:r>
              <m:t xml:space="preserve">ADC</m:t>
            </m:r>
          </m:sub>
        </m:sSub>
        <m:r>
          <m:t xml:space="preserve">=</m:t>
        </m:r>
        <m:r>
          <m:t xml:space="preserve">48</m:t>
        </m:r>
        <m:r>
          <m:t xml:space="preserve">+</m:t>
        </m:r>
        <m:r>
          <m:t xml:space="preserve">6.5</m:t>
        </m:r>
        <m:r>
          <m:t xml:space="preserve">=</m:t>
        </m:r>
        <m:r>
          <m:t xml:space="preserve">54.5</m:t>
        </m:r>
      </m:oMath>
      <w:r>
        <w:rPr/>
        <w:t xml:space="preserve"> мА</w:t>
      </w:r>
    </w:p>
    <w:p>
      <w:pPr>
        <w:pStyle w:val="BodyText"/>
        <w:rPr/>
      </w:pPr>
      <w:r>
        <w:rPr/>
        <w:t>Мощность АЦП:</w:t>
      </w:r>
    </w:p>
    <w:p>
      <w:pPr>
        <w:pStyle w:val="BodyText"/>
        <w:rPr/>
      </w:pPr>
      <w:r>
        <w:rPr/>
      </w:r>
      <m:oMath xmlns:m="http://schemas.openxmlformats.org/officeDocument/2006/math">
        <m:sSub>
          <m:e>
            <m:r>
              <m:t xml:space="preserve">P</m:t>
            </m:r>
          </m:e>
          <m:sub>
            <m:r>
              <m:t xml:space="preserve">ADC</m:t>
            </m:r>
          </m:sub>
        </m:sSub>
        <m:r>
          <m:t xml:space="preserve">=</m:t>
        </m:r>
        <m:sSub>
          <m:e>
            <m:r>
              <m:t xml:space="preserve">U</m:t>
            </m:r>
          </m:e>
          <m:sub>
            <m:r>
              <m:rPr>
                <m:lit/>
                <m:nor/>
              </m:rPr>
              <m:t xml:space="preserve">ADC</m:t>
            </m:r>
          </m:sub>
        </m:sSub>
        <m:r>
          <m:t xml:space="preserve">∗</m:t>
        </m:r>
        <m:sSub>
          <m:e>
            <m:r>
              <m:t xml:space="preserve">I</m:t>
            </m:r>
          </m:e>
          <m:sub>
            <m:r>
              <m:t xml:space="preserve">ADC</m:t>
            </m:r>
          </m:sub>
        </m:sSub>
      </m:oMath>
      <w:r>
        <w:rPr/>
        <w:t>, где:</w:t>
      </w:r>
    </w:p>
    <w:p>
      <w:pPr>
        <w:pStyle w:val="BodyText"/>
        <w:rPr/>
      </w:pPr>
      <w:r>
        <w:rPr/>
      </w:r>
    </w:p>
    <w:p>
      <w:pPr>
        <w:pStyle w:val="BodyText"/>
        <w:rPr/>
      </w:pPr>
      <w:r>
        <w:rPr/>
        <w:t>- P</w:t>
      </w:r>
      <w:r>
        <w:rPr>
          <w:vertAlign w:val="subscript"/>
        </w:rPr>
        <w:t>ADC</w:t>
      </w:r>
      <w:r>
        <w:rPr/>
        <w:t xml:space="preserve"> - потребляемая мощность АЦП;</w:t>
      </w:r>
    </w:p>
    <w:p>
      <w:pPr>
        <w:pStyle w:val="BodyText"/>
        <w:rPr/>
      </w:pPr>
      <w:r>
        <w:rPr/>
        <w:t>- U</w:t>
      </w:r>
      <w:r>
        <w:rPr>
          <w:vertAlign w:val="subscript"/>
        </w:rPr>
        <w:t>ADC</w:t>
      </w:r>
      <w:r>
        <w:rPr/>
        <w:t xml:space="preserve"> - напряжение питания АЦП;</w:t>
      </w:r>
    </w:p>
    <w:p>
      <w:pPr>
        <w:pStyle w:val="BodyText"/>
        <w:rPr/>
      </w:pPr>
      <w:r>
        <w:rPr/>
        <w:t>- I</w:t>
      </w:r>
      <w:r>
        <w:rPr>
          <w:vertAlign w:val="subscript"/>
        </w:rPr>
        <w:t>ADC</w:t>
      </w:r>
      <w:r>
        <w:rPr/>
        <w:t xml:space="preserve"> - суммарный ток потребления.</w:t>
      </w:r>
    </w:p>
    <w:p>
      <w:pPr>
        <w:pStyle w:val="BodyText"/>
        <w:rPr/>
      </w:pPr>
      <w:r>
        <w:rPr/>
        <w:t xml:space="preserve">Подставляя значения: </w:t>
      </w:r>
      <w:r>
        <w:rPr/>
      </w:r>
      <m:oMath xmlns:m="http://schemas.openxmlformats.org/officeDocument/2006/math">
        <m:sSub>
          <m:e>
            <m:r>
              <m:t xml:space="preserve">P</m:t>
            </m:r>
          </m:e>
          <m:sub>
            <m:r>
              <m:t xml:space="preserve">ADC</m:t>
            </m:r>
          </m:sub>
        </m:sSub>
        <m:r>
          <m:t xml:space="preserve">=</m:t>
        </m:r>
        <m:r>
          <m:t xml:space="preserve">5</m:t>
        </m:r>
        <m:r>
          <m:t xml:space="preserve">∗</m:t>
        </m:r>
        <m:r>
          <m:t xml:space="preserve">0.0545</m:t>
        </m:r>
        <m:r>
          <m:t xml:space="preserve">=</m:t>
        </m:r>
        <m:r>
          <m:t xml:space="preserve">0.273</m:t>
        </m:r>
      </m:oMath>
      <w:r>
        <w:rPr/>
        <w:t xml:space="preserve"> Вт.</w:t>
      </w:r>
    </w:p>
    <w:p>
      <w:pPr>
        <w:pStyle w:val="BodyText"/>
        <w:rPr/>
      </w:pPr>
      <w:r>
        <w:rPr/>
        <w:t>Следовательно, максимальная потребляемая мощность аналого-цифрового преобразователя составляет 0.273 Вт.</w:t>
      </w:r>
    </w:p>
    <w:p>
      <w:pPr>
        <w:pStyle w:val="BodyText"/>
        <w:rPr/>
      </w:pPr>
      <w:r>
        <w:rPr/>
      </w:r>
    </w:p>
    <w:p>
      <w:pPr>
        <w:pStyle w:val="Heading3"/>
        <w:rPr/>
      </w:pPr>
      <w:r>
        <w:rPr/>
        <w:t>3.4.3. Расчет мощности операционных усилителей</w:t>
      </w:r>
    </w:p>
    <w:p>
      <w:pPr>
        <w:pStyle w:val="BodyText"/>
        <w:rPr/>
      </w:pPr>
      <w:r>
        <w:rPr/>
        <w:t>В устройстве используются три микросхемы AD823ARZ, каждая из которых содержит два операционных усилителя.</w:t>
      </w:r>
    </w:p>
    <w:p>
      <w:pPr>
        <w:pStyle w:val="BodyText"/>
        <w:rPr/>
      </w:pPr>
      <w:r>
        <w:rPr/>
        <w:t>Согласно технической документации, максимальный ток потребления одной микросхемы составляет 8 мА.</w:t>
      </w:r>
    </w:p>
    <w:p>
      <w:pPr>
        <w:pStyle w:val="BodyText"/>
        <w:rPr/>
      </w:pPr>
      <w:r>
        <w:rPr/>
        <w:t>Суммарный ток всех усилителей:</w:t>
      </w:r>
    </w:p>
    <w:p>
      <w:pPr>
        <w:pStyle w:val="BodyText"/>
        <w:rPr/>
      </w:pPr>
      <w:r>
        <w:rPr/>
      </w:r>
      <m:oMath xmlns:m="http://schemas.openxmlformats.org/officeDocument/2006/math">
        <m:sSub>
          <m:e>
            <m:r>
              <m:t xml:space="preserve">I</m:t>
            </m:r>
          </m:e>
          <m:sub>
            <m:r>
              <m:t xml:space="preserve">AMP</m:t>
            </m:r>
          </m:sub>
        </m:sSub>
        <m:r>
          <m:t xml:space="preserve">=</m:t>
        </m:r>
        <m:r>
          <m:t xml:space="preserve">N</m:t>
        </m:r>
        <m:r>
          <m:t xml:space="preserve">∗</m:t>
        </m:r>
        <m:sSub>
          <m:e>
            <m:r>
              <m:t xml:space="preserve">I</m:t>
            </m:r>
          </m:e>
          <m:sub>
            <m:r>
              <m:t xml:space="preserve">AD</m:t>
            </m:r>
            <m:r>
              <m:t xml:space="preserve">823</m:t>
            </m:r>
          </m:sub>
        </m:sSub>
      </m:oMath>
      <w:r>
        <w:rPr/>
        <w:t>, где:</w:t>
      </w:r>
    </w:p>
    <w:p>
      <w:pPr>
        <w:pStyle w:val="BodyText"/>
        <w:rPr/>
      </w:pPr>
      <w:r>
        <w:rPr/>
        <w:t>- I</w:t>
      </w:r>
      <w:r>
        <w:rPr>
          <w:vertAlign w:val="subscript"/>
        </w:rPr>
        <w:t>AMP</w:t>
      </w:r>
      <w:r>
        <w:rPr/>
        <w:t xml:space="preserve"> - суммарный ток усилителей;</w:t>
      </w:r>
    </w:p>
    <w:p>
      <w:pPr>
        <w:pStyle w:val="BodyText"/>
        <w:rPr/>
      </w:pPr>
      <w:r>
        <w:rPr/>
        <w:t>- N - количество микросхем;</w:t>
      </w:r>
    </w:p>
    <w:p>
      <w:pPr>
        <w:pStyle w:val="BodyText"/>
        <w:rPr/>
      </w:pPr>
      <w:r>
        <w:rPr/>
        <w:t>- I</w:t>
      </w:r>
      <w:r>
        <w:rPr>
          <w:vertAlign w:val="subscript"/>
        </w:rPr>
        <w:t>AD823</w:t>
      </w:r>
      <w:r>
        <w:rPr/>
        <w:t xml:space="preserve"> - ток одной микросхемы.</w:t>
      </w:r>
    </w:p>
    <w:p>
      <w:pPr>
        <w:pStyle w:val="BodyText"/>
        <w:rPr/>
      </w:pPr>
      <w:r>
        <w:rPr/>
        <w:t xml:space="preserve">Подставляя значения: </w:t>
      </w:r>
      <w:r>
        <w:rPr/>
      </w:r>
      <m:oMath xmlns:m="http://schemas.openxmlformats.org/officeDocument/2006/math">
        <m:sSub>
          <m:e>
            <m:r>
              <m:t xml:space="preserve">I</m:t>
            </m:r>
          </m:e>
          <m:sub>
            <m:r>
              <m:t xml:space="preserve">AMP</m:t>
            </m:r>
          </m:sub>
        </m:sSub>
        <m:r>
          <m:t xml:space="preserve">=</m:t>
        </m:r>
        <m:r>
          <m:t xml:space="preserve">3</m:t>
        </m:r>
        <m:r>
          <m:t xml:space="preserve">∗</m:t>
        </m:r>
        <m:r>
          <m:t xml:space="preserve">8</m:t>
        </m:r>
        <m:r>
          <m:t xml:space="preserve">=</m:t>
        </m:r>
        <m:r>
          <m:t xml:space="preserve">24</m:t>
        </m:r>
      </m:oMath>
      <w:r>
        <w:rPr/>
        <w:t xml:space="preserve"> мА</w:t>
      </w:r>
    </w:p>
    <w:p>
      <w:pPr>
        <w:pStyle w:val="BodyText"/>
        <w:rPr/>
      </w:pPr>
      <w:r>
        <w:rPr/>
        <w:t>Поскольку усилители питаются от двухполярного источника ±20В, которые преобразуются в ±15В линейными стабилизаторами, общая разность потенциалов составляет 40В.</w:t>
      </w:r>
    </w:p>
    <w:p>
      <w:pPr>
        <w:pStyle w:val="BodyText"/>
        <w:rPr/>
      </w:pPr>
      <w:r>
        <w:rPr/>
        <w:t>Мощность усилительного тракта:</w:t>
      </w:r>
    </w:p>
    <w:p>
      <w:pPr>
        <w:pStyle w:val="BodyText"/>
        <w:rPr/>
      </w:pPr>
      <w:r>
        <w:rPr/>
      </w:r>
      <m:oMath xmlns:m="http://schemas.openxmlformats.org/officeDocument/2006/math">
        <m:sSub>
          <m:e>
            <m:r>
              <m:t xml:space="preserve">P</m:t>
            </m:r>
          </m:e>
          <m:sub>
            <m:r>
              <m:t xml:space="preserve">AMP</m:t>
            </m:r>
          </m:sub>
        </m:sSub>
        <m:r>
          <m:t xml:space="preserve">=</m:t>
        </m:r>
        <m:sSub>
          <m:e>
            <m:r>
              <m:t xml:space="preserve">U</m:t>
            </m:r>
          </m:e>
          <m:sub>
            <m:r>
              <m:t xml:space="preserve">AMP</m:t>
            </m:r>
          </m:sub>
        </m:sSub>
        <m:r>
          <m:t xml:space="preserve">∗</m:t>
        </m:r>
        <m:sSub>
          <m:e>
            <m:r>
              <m:t xml:space="preserve">I</m:t>
            </m:r>
          </m:e>
          <m:sub>
            <m:r>
              <m:t xml:space="preserve">AMP</m:t>
            </m:r>
          </m:sub>
        </m:sSub>
      </m:oMath>
      <w:r>
        <w:rPr/>
        <w:t>, где:</w:t>
      </w:r>
    </w:p>
    <w:p>
      <w:pPr>
        <w:pStyle w:val="BodyText"/>
        <w:rPr/>
      </w:pPr>
      <w:r>
        <w:rPr/>
        <w:t>- P</w:t>
      </w:r>
      <w:r>
        <w:rPr>
          <w:vertAlign w:val="subscript"/>
        </w:rPr>
        <w:t>AMP</w:t>
      </w:r>
      <w:r>
        <w:rPr/>
        <w:t xml:space="preserve"> - мощность усилительного тракта;</w:t>
      </w:r>
    </w:p>
    <w:p>
      <w:pPr>
        <w:pStyle w:val="BodyText"/>
        <w:rPr/>
      </w:pPr>
      <w:r>
        <w:rPr/>
        <w:t>- U</w:t>
      </w:r>
      <w:r>
        <w:rPr>
          <w:vertAlign w:val="subscript"/>
        </w:rPr>
        <w:t>AMP</w:t>
      </w:r>
      <w:r>
        <w:rPr/>
        <w:t xml:space="preserve"> - суммарное напряжение питания;</w:t>
      </w:r>
    </w:p>
    <w:p>
      <w:pPr>
        <w:pStyle w:val="BodyText"/>
        <w:rPr/>
      </w:pPr>
      <w:r>
        <w:rPr/>
        <w:t>-I</w:t>
      </w:r>
      <w:r>
        <w:rPr>
          <w:vertAlign w:val="subscript"/>
        </w:rPr>
        <w:t>AMP</w:t>
      </w:r>
      <w:r>
        <w:rPr/>
        <w:t xml:space="preserve"> - суммарный ток усилителей.</w:t>
      </w:r>
    </w:p>
    <w:p>
      <w:pPr>
        <w:pStyle w:val="BodyText"/>
        <w:rPr/>
      </w:pPr>
      <w:r>
        <w:rPr/>
        <w:t xml:space="preserve">Подставляя значения: </w:t>
      </w:r>
      <w:r>
        <w:rPr/>
      </w:r>
      <m:oMath xmlns:m="http://schemas.openxmlformats.org/officeDocument/2006/math">
        <m:sSub>
          <m:e>
            <m:r>
              <m:t xml:space="preserve">P</m:t>
            </m:r>
          </m:e>
          <m:sub>
            <m:r>
              <m:t xml:space="preserve">AMP</m:t>
            </m:r>
          </m:sub>
        </m:sSub>
        <m:r>
          <m:t xml:space="preserve">=</m:t>
        </m:r>
        <m:r>
          <m:t xml:space="preserve">40</m:t>
        </m:r>
        <m:r>
          <m:t xml:space="preserve">∗</m:t>
        </m:r>
        <m:r>
          <m:t xml:space="preserve">0.024</m:t>
        </m:r>
        <m:r>
          <m:t xml:space="preserve">=</m:t>
        </m:r>
        <m:r>
          <m:t xml:space="preserve">0.96</m:t>
        </m:r>
      </m:oMath>
      <w:r>
        <w:rPr/>
        <w:t xml:space="preserve"> Вт</w:t>
      </w:r>
    </w:p>
    <w:p>
      <w:pPr>
        <w:pStyle w:val="BodyText"/>
        <w:rPr/>
      </w:pPr>
      <w:r>
        <w:rPr/>
        <w:t>Следовательно, максимальная мощность, потребляемая операционными усилителями, составляет 0.96 Вт.</w:t>
      </w:r>
    </w:p>
    <w:p>
      <w:pPr>
        <w:pStyle w:val="BodyText"/>
        <w:rPr/>
      </w:pPr>
      <w:r>
        <w:rPr/>
      </w:r>
    </w:p>
    <w:p>
      <w:pPr>
        <w:pStyle w:val="Heading3"/>
        <w:rPr/>
      </w:pPr>
      <w:r>
        <w:rPr/>
        <w:t>3.4.4. Суммарная потребляемая мощность</w:t>
      </w:r>
    </w:p>
    <w:p>
      <w:pPr>
        <w:pStyle w:val="BodyText"/>
        <w:rPr/>
      </w:pPr>
      <w:r>
        <w:rPr/>
        <w:t>Суммарная мощность устройства определяется как сумма мощностей отдельных функциональных узлов:</w:t>
      </w:r>
    </w:p>
    <w:p>
      <w:pPr>
        <w:pStyle w:val="BodyText"/>
        <w:rPr/>
      </w:pPr>
      <w:r>
        <w:rPr/>
      </w:r>
      <m:oMath xmlns:m="http://schemas.openxmlformats.org/officeDocument/2006/math">
        <m:r>
          <m:t xml:space="preserve">P</m:t>
        </m:r>
        <m:r>
          <m:t xml:space="preserve">=</m:t>
        </m:r>
        <m:sSub>
          <m:e>
            <m:r>
              <m:t xml:space="preserve">P</m:t>
            </m:r>
          </m:e>
          <m:sub>
            <m:r>
              <m:t xml:space="preserve">MCU</m:t>
            </m:r>
          </m:sub>
        </m:sSub>
        <m:r>
          <m:t xml:space="preserve">+</m:t>
        </m:r>
        <m:sSub>
          <m:e>
            <m:r>
              <m:t xml:space="preserve">P</m:t>
            </m:r>
          </m:e>
          <m:sub>
            <m:r>
              <m:t xml:space="preserve">ADC</m:t>
            </m:r>
          </m:sub>
        </m:sSub>
        <m:r>
          <m:t xml:space="preserve">+</m:t>
        </m:r>
        <m:sSub>
          <m:e>
            <m:r>
              <m:t xml:space="preserve">P</m:t>
            </m:r>
          </m:e>
          <m:sub>
            <m:r>
              <m:t xml:space="preserve">AMP</m:t>
            </m:r>
          </m:sub>
        </m:sSub>
      </m:oMath>
      <w:r>
        <w:rPr/>
        <w:t>, где:</w:t>
      </w:r>
    </w:p>
    <w:p>
      <w:pPr>
        <w:pStyle w:val="BodyText"/>
        <w:rPr/>
      </w:pPr>
      <w:r>
        <w:rPr/>
        <w:t>- P - суммарная мощность устройства;</w:t>
      </w:r>
    </w:p>
    <w:p>
      <w:pPr>
        <w:pStyle w:val="BodyText"/>
        <w:rPr/>
      </w:pPr>
      <w:r>
        <w:rPr/>
        <w:t>- PMCU - мощность микроконтроллера;</w:t>
      </w:r>
    </w:p>
    <w:p>
      <w:pPr>
        <w:pStyle w:val="BodyText"/>
        <w:rPr/>
      </w:pPr>
      <w:r>
        <w:rPr/>
        <w:t>- PADC - мощность аналого-цифрового преобразователя;</w:t>
      </w:r>
    </w:p>
    <w:p>
      <w:pPr>
        <w:pStyle w:val="BodyText"/>
        <w:rPr/>
      </w:pPr>
      <w:r>
        <w:rPr/>
        <w:t>- PAMP - мощность аналогового тракта (операционные усилители).</w:t>
      </w:r>
    </w:p>
    <w:p>
      <w:pPr>
        <w:pStyle w:val="BodyText"/>
        <w:rPr/>
      </w:pPr>
      <w:r>
        <w:rPr/>
        <w:t xml:space="preserve">Подставляя рассчитанные значения: </w:t>
      </w:r>
      <w:r>
        <w:rPr/>
      </w:r>
      <m:oMath xmlns:m="http://schemas.openxmlformats.org/officeDocument/2006/math">
        <m:r>
          <m:t xml:space="preserve">P</m:t>
        </m:r>
        <m:r>
          <m:t xml:space="preserve">=</m:t>
        </m:r>
        <m:r>
          <m:t xml:space="preserve">0.75</m:t>
        </m:r>
        <m:r>
          <m:t xml:space="preserve">+</m:t>
        </m:r>
        <m:r>
          <m:t xml:space="preserve">0.273</m:t>
        </m:r>
        <m:r>
          <m:t xml:space="preserve">+</m:t>
        </m:r>
        <m:r>
          <m:t xml:space="preserve">0.96</m:t>
        </m:r>
        <m:r>
          <m:t xml:space="preserve">=</m:t>
        </m:r>
        <m:r>
          <m:t xml:space="preserve">1.983</m:t>
        </m:r>
      </m:oMath>
      <w:r>
        <w:rPr/>
        <w:t xml:space="preserve"> Вт</w:t>
      </w:r>
    </w:p>
    <w:p>
      <w:pPr>
        <w:pStyle w:val="BodyText"/>
        <w:rPr/>
      </w:pPr>
      <w:r>
        <w:rPr/>
        <w:t>Таким образом, даже при использовании максимальных паспортных значений токов потребления суммарная мощность устройства не превышает 2 Вт.</w:t>
      </w:r>
    </w:p>
    <w:p>
      <w:pPr>
        <w:pStyle w:val="BodyText"/>
        <w:rPr/>
      </w:pPr>
      <w:r>
        <w:rPr/>
        <w:t>Полученное значение позволяет сделать вывод о том, что устройство не требует применения активного охлаждения. Отвод тепла может осуществляться естественным образом через печатную плату и окружающий воздух. При этом следует учитывать, что в реальных условиях эксплуатации потребляемая мощность будет ниже расчетной, поскольку использованные в расчете значения соответствуют максимально допустимым режимам работы компонентов и содержат определенный запас по энергопотреблению.</w:t>
      </w:r>
    </w:p>
    <w:p>
      <w:pPr>
        <w:pStyle w:val="BodyText"/>
        <w:rPr/>
      </w:pPr>
      <w:r>
        <w:rPr/>
      </w:r>
    </w:p>
    <w:p>
      <w:pPr>
        <w:pStyle w:val="Heading2"/>
        <w:rPr/>
      </w:pPr>
      <w:r>
        <w:rPr/>
        <w:t>3.5. Экспериментальная проверка устройства</w:t>
      </w:r>
    </w:p>
    <w:p>
      <w:pPr>
        <w:pStyle w:val="BodyText"/>
        <w:rPr/>
      </w:pPr>
      <w:r>
        <w:rPr/>
        <w:t>После завершения разработки аппаратной части устройства и программного обеспечения была проведена экспериментальная проверка работоспособности измерительного тракта и алгоритмов обработки сигналов. Основной целью испытаний являлась оценка точности определения амплитуды и частоты периодических сигналов, а также проверка соответствия разработанного устройства требованиям, сформулированным на этапе проектирования.</w:t>
      </w:r>
    </w:p>
    <w:p>
      <w:pPr>
        <w:pStyle w:val="BodyText"/>
        <w:rPr/>
      </w:pPr>
      <w:r>
        <w:rPr/>
        <w:t>Для проведения испытаний был изготовлен макетный образец устройства, включающий аналоговый тракт обработки сигнала, аналого-цифровой преобразователь AD9057BRSZ-40 и микроконтроллер STM32F407VET6. Проверка проводилась в лабораторных условиях с использованием генератора сигналов и цифрового осциллографа.</w:t>
      </w:r>
    </w:p>
    <w:p>
      <w:pPr>
        <w:pStyle w:val="BodyText"/>
        <w:rPr/>
      </w:pPr>
      <w:r>
        <w:rPr/>
        <w:t>В качестве тестового воздействия использовался синусоидальный сигнал. Такой выбор обусловлен тем, что синусоидальный сигнал является базовым видом периодического сигнала и широко применяется при испытаниях измерительной аппаратуры. Кроме того, для синусоидального сигнала легко определить эталонные значения амплитуды и частоты с помощью стандартных измерительных приборов.</w:t>
      </w:r>
    </w:p>
    <w:p>
      <w:pPr>
        <w:pStyle w:val="BodyText"/>
        <w:rPr/>
      </w:pPr>
      <w:r>
        <w:rPr/>
        <w:t>В ходе испытаний исследовалось влияние амплитуды и частоты сигнала на результаты измерений. Для этого были выбраны два значения амплитуды входного сигнала: 200 мВ и 800 мВ. Частота сигнала изменялась в диапазоне рабочих частот устройства и принимала значения 10 кГц, 300 кГц, 400 кГц и 500 кГц.</w:t>
      </w:r>
    </w:p>
    <w:p>
      <w:pPr>
        <w:pStyle w:val="BodyText"/>
        <w:rPr/>
      </w:pPr>
      <w:r>
        <w:rPr/>
        <w:t>Сигнал от генератора подавался на вход разработанного устройства. Одновременно контрольный канал осциллографа подключался к выходу выходу генератора сигналов. Такое подключение позволяло контролировать параметры сигнала непосредственно перед его дальнейшей обработкой аналоговым трактом устройства и использовать показания осциллографа в качестве эталонных значений при последующем сравнении результатов.</w:t>
      </w:r>
    </w:p>
    <w:p>
      <w:pPr>
        <w:pStyle w:val="BodyText"/>
        <w:rPr/>
      </w:pPr>
      <w:r>
        <w:rPr/>
        <w:t>Испытания так же проводились в двух вариантах: с нагрузочным резистором и без него. Нагрузочный резистор имитирует внутреннее сопротивление источника сигнала. К тому же, при каждом испытании источник сигнала подключался через провода МГТФ в железной оплетке. Длинна провода - 3 метра. Такие испытания помогают проанализировать влияние выходного сопротивления источника сигнала и влияние этого сопротивления на результаты измерения.</w:t>
      </w:r>
    </w:p>
    <w:p>
      <w:pPr>
        <w:pStyle w:val="BodyText"/>
        <w:rPr/>
      </w:pPr>
      <w:r>
        <w:rPr/>
        <w:t>Во время проведения измерений микроконтроллер выполнял программу сбора данных. После включения питания или аппаратного сброса производилась инициализация периферийных устройств, необходимых для работы измерительного тракта. Затем запускался процесс непрерывной оцифровки сигнала посредством внешнего аналого-цифрового преобразователя. Соответственно, сначала подавалось питание и настраивалось оборудование, а дальше для записи запускался скрипт на компьютере и нажималась кнопка RESET на плате с микроконтроллером.</w:t>
      </w:r>
    </w:p>
    <w:p>
      <w:pPr>
        <w:pStyle w:val="BodyText"/>
        <w:rPr/>
      </w:pPr>
      <w:r>
        <w:rPr/>
        <w:t>Полученные выборки записывались в буфер оперативной памяти микроконтроллера средствами прямого доступа к памяти (DMA). Размер буфера составлял 0x8000 байт, что соответствует максимально допустимому объему передачи для используемого контроллера DMA во всей серии микроконтроллеров STM32. После завершения заполнения буфера его содержимое передавалось по последовательному интерфейсу UART на персональный компьютер.</w:t>
      </w:r>
    </w:p>
    <w:p>
      <w:pPr>
        <w:pStyle w:val="BodyText"/>
        <w:rPr/>
      </w:pPr>
      <w:r>
        <w:rPr/>
        <w:t>На стороне персонального компьютера использовалась специализированная программа, осуществляющая прием данных. Программа ожидала поступления полного буфера размером 0x8000 байт, после чего сохраняла полученный массив отсчетов в бинарный файл без дополнительной обработки. Такой подход позволял исключить влияние промежуточных алгоритмов обработки данных и обеспечить сохранение исходных результатов оцифровки для последующего анализа.</w:t>
      </w:r>
    </w:p>
    <w:p>
      <w:pPr>
        <w:pStyle w:val="BodyText"/>
        <w:rPr/>
      </w:pPr>
      <w:r>
        <w:rPr/>
        <w:t>Полученные файлы использовались для проверки разработанных алгоритмов измерения параметров сигнала. Для каждого набора экспериментальных данных выполнялось определение амплитуды и частоты исследуемого сигнала. Результаты работы алгоритмов сравнивались с показаниями осциллографа и параметрами, установленными на генераторе сигналов.</w:t>
      </w:r>
    </w:p>
    <w:p>
      <w:pPr>
        <w:pStyle w:val="BodyText"/>
        <w:rPr/>
      </w:pPr>
      <w:r>
        <w:rPr/>
        <w:t>Таким образом, разработанная методика испытаний позволила получить набор экспериментальных данных, содержащих реальные отсчеты сигнала после прохождения через аналоговый тракт устройства. Использование одинаковых условий измерений для различных значений амплитуды и частоты обеспечило возможность объективной оценки точности разработанного измерительного комплекса и эффективности выбранных алгоритмов цифровой обработки.</w:t>
      </w:r>
    </w:p>
    <w:p>
      <w:pPr>
        <w:pStyle w:val="BodyText"/>
        <w:rPr/>
      </w:pPr>
      <w:r>
        <w:rPr/>
      </w:r>
    </w:p>
    <w:p>
      <w:pPr>
        <w:pStyle w:val="Heading2"/>
        <w:rPr/>
      </w:pPr>
      <w:r>
        <w:rPr/>
        <w:t>3.6 Анализ экспериментальных данных</w:t>
      </w:r>
    </w:p>
    <w:p>
      <w:pPr>
        <w:pStyle w:val="BodyText"/>
        <w:rPr/>
      </w:pPr>
      <w:r>
        <w:rPr/>
        <w:t>В ходе экспериментальной проверки устройства был получен набор оцифрованных сигналов для различных комбинаций амплитуды и частоты входного воздействия. Полученные данные использовались для оценки точности разработанного алгоритма измерения параметров периодических сигналов.</w:t>
      </w:r>
    </w:p>
    <w:p>
      <w:pPr>
        <w:pStyle w:val="BodyText"/>
        <w:rPr/>
      </w:pPr>
      <w:r>
        <w:rPr/>
        <w:t>Для каждого эксперимента были известны эталонные значения частоты и амплитуды сигнала, определенные с помощью генератора сигналов и контролируемые поверенным цифровым осциллографом. После получения массива отсчетов выполнялась их обработка разработанным алгоритмом, в результате чего определялись измеренные значения амплитуды и частоты.</w:t>
      </w:r>
    </w:p>
    <w:p>
      <w:pPr>
        <w:pStyle w:val="BodyText"/>
        <w:rPr/>
      </w:pPr>
      <w:r>
        <w:rPr/>
        <w:t>Оценка точности проводилась путем сравнения результатов работы алгоритма с эталонными значениями. Для количественной оценки использовались абсолютная и относительная погрешности измерения.</w:t>
      </w:r>
    </w:p>
    <w:p>
      <w:pPr>
        <w:pStyle w:val="BodyText"/>
        <w:rPr/>
      </w:pPr>
      <w:r>
        <w:rPr/>
        <w:t>Абсолютная погрешность измерения частоты определялась по формуле:</w:t>
      </w:r>
    </w:p>
    <w:p>
      <w:pPr>
        <w:pStyle w:val="BodyText"/>
        <w:rPr/>
      </w:pPr>
      <w:r>
        <w:rPr/>
      </w:r>
      <m:oMath xmlns:m="http://schemas.openxmlformats.org/officeDocument/2006/math">
        <m:sSub>
          <m:e>
            <m:r>
              <m:t xml:space="preserve">Δ</m:t>
            </m:r>
          </m:e>
          <m:sub>
            <m:r>
              <m:t xml:space="preserve">f</m:t>
            </m:r>
          </m:sub>
        </m:sSub>
        <m:r>
          <m:t xml:space="preserve">=</m:t>
        </m:r>
        <m:d>
          <m:dPr>
            <m:begChr m:val="|"/>
            <m:endChr m:val="|"/>
          </m:dPr>
          <m:e>
            <m:sSub>
              <m:e>
                <m:r>
                  <m:t xml:space="preserve">f</m:t>
                </m:r>
              </m:e>
              <m:sub>
                <m:r>
                  <m:t xml:space="preserve">ref</m:t>
                </m:r>
              </m:sub>
            </m:sSub>
            <m:r>
              <m:t xml:space="preserve">−</m:t>
            </m:r>
            <m:sSub>
              <m:e>
                <m:r>
                  <m:t xml:space="preserve">f</m:t>
                </m:r>
              </m:e>
              <m:sub>
                <m:r>
                  <m:t xml:space="preserve">meas</m:t>
                </m:r>
              </m:sub>
            </m:sSub>
          </m:e>
        </m:d>
      </m:oMath>
      <w:r>
        <w:rPr/>
        <w:t>, где:</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 f</w:t>
      </w:r>
      <w:r>
        <w:rPr>
          <w:vertAlign w:val="subscript"/>
        </w:rPr>
        <w:t>meas</w:t>
      </w:r>
      <w:r>
        <w:rPr/>
        <w:t xml:space="preserve"> - значение частоты, полученное алгоритмом, кГц.</w:t>
      </w:r>
    </w:p>
    <w:p>
      <w:pPr>
        <w:pStyle w:val="BodyText"/>
        <w:rPr/>
      </w:pPr>
      <w:r>
        <w:rPr/>
        <w:t>Относительная погрешность измерения частоты определялась по формуле:</w:t>
      </w:r>
    </w:p>
    <w:p>
      <w:pPr>
        <w:pStyle w:val="BodyText"/>
        <w:rPr/>
      </w:pPr>
      <w:r>
        <w:rPr/>
      </w:r>
      <m:oMath xmlns:m="http://schemas.openxmlformats.org/officeDocument/2006/math">
        <m:sSub>
          <m:e>
            <m:r>
              <m:t xml:space="preserve">Δ</m:t>
            </m:r>
          </m:e>
          <m:sub>
            <m:r>
              <m:t xml:space="preserve">fe</m:t>
            </m:r>
          </m:sub>
        </m:sSub>
        <m:r>
          <m:t xml:space="preserve">=</m:t>
        </m:r>
        <m:d>
          <m:dPr>
            <m:begChr m:val="("/>
            <m:endChr m:val=")"/>
          </m:dPr>
          <m:e>
            <m:f>
              <m:fPr>
                <m:type m:val="lin"/>
              </m:fPr>
              <m:num>
                <m:sSub>
                  <m:e>
                    <m:r>
                      <m:t xml:space="preserve">Δ</m:t>
                    </m:r>
                  </m:e>
                  <m:sub>
                    <m:r>
                      <m:t xml:space="preserve">f</m:t>
                    </m:r>
                  </m:sub>
                </m:sSub>
              </m:num>
              <m:den>
                <m:sSub>
                  <m:e>
                    <m:r>
                      <m:t xml:space="preserve">f</m:t>
                    </m:r>
                  </m:e>
                  <m:sub>
                    <m:r>
                      <m:t xml:space="preserve">ref</m:t>
                    </m:r>
                  </m:sub>
                </m:sSub>
              </m:den>
            </m:f>
          </m:e>
        </m:d>
        <m:r>
          <m:t xml:space="preserve">∗</m:t>
        </m:r>
        <m:r>
          <m:t xml:space="preserve">100</m:t>
        </m:r>
      </m:oMath>
      <w:r>
        <w:rPr/>
        <w:t>, где:</w:t>
      </w:r>
    </w:p>
    <w:p>
      <w:pPr>
        <w:pStyle w:val="BodyText"/>
        <w:rPr/>
      </w:pPr>
      <w:r>
        <w:rPr/>
        <w:t>- Δ</w:t>
      </w:r>
      <w:r>
        <w:rPr>
          <w:vertAlign w:val="subscript"/>
        </w:rPr>
        <w:t>fе</w:t>
      </w:r>
      <w:r>
        <w:rPr/>
        <w:t xml:space="preserve"> - относительная погрешность измерения частоты, %;</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Аналогично рассчитывались погрешности измерения амплитуды сигнала.</w:t>
      </w:r>
    </w:p>
    <w:p>
      <w:pPr>
        <w:pStyle w:val="BodyText"/>
        <w:rPr/>
      </w:pPr>
      <w:r>
        <w:rPr/>
        <w:t>Абсолютная погрешность измерения амплитуды:</w:t>
      </w:r>
    </w:p>
    <w:p>
      <w:pPr>
        <w:pStyle w:val="BodyText"/>
        <w:rPr/>
      </w:pPr>
      <w:r>
        <w:rPr/>
      </w:r>
      <m:oMath xmlns:m="http://schemas.openxmlformats.org/officeDocument/2006/math">
        <m:sSub>
          <m:e>
            <m:r>
              <m:t xml:space="preserve">Δ</m:t>
            </m:r>
          </m:e>
          <m:sub>
            <m:r>
              <m:t xml:space="preserve">A</m:t>
            </m:r>
          </m:sub>
        </m:sSub>
        <m:r>
          <m:t xml:space="preserve">=</m:t>
        </m:r>
        <m:d>
          <m:dPr>
            <m:begChr m:val="|"/>
            <m:endChr m:val="|"/>
          </m:dPr>
          <m:e>
            <m:sSub>
              <m:e>
                <m:r>
                  <m:t xml:space="preserve">A</m:t>
                </m:r>
              </m:e>
              <m:sub>
                <m:r>
                  <m:t xml:space="preserve">ref</m:t>
                </m:r>
              </m:sub>
            </m:sSub>
            <m:r>
              <m:t xml:space="preserve">−</m:t>
            </m:r>
            <m:sSub>
              <m:e>
                <m:r>
                  <m:t xml:space="preserve">A</m:t>
                </m:r>
              </m:e>
              <m:sub>
                <m:r>
                  <m:t xml:space="preserve">meas</m:t>
                </m:r>
              </m:sub>
            </m:sSub>
          </m:e>
        </m:d>
      </m:oMath>
      <w:r>
        <w:rPr/>
        <w:t>, где:</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A</w:t>
      </w:r>
      <w:r>
        <w:rPr>
          <w:vertAlign w:val="subscript"/>
        </w:rPr>
        <w:t>ref</w:t>
      </w:r>
      <w:r>
        <w:rPr/>
        <w:t xml:space="preserve"> - эталонная амплитуда сигнала, мВ;</w:t>
      </w:r>
    </w:p>
    <w:p>
      <w:pPr>
        <w:pStyle w:val="BodyText"/>
        <w:rPr/>
      </w:pPr>
      <w:r>
        <w:rPr/>
        <w:t>- A</w:t>
      </w:r>
      <w:r>
        <w:rPr>
          <w:vertAlign w:val="subscript"/>
        </w:rPr>
        <w:t>meas</w:t>
      </w:r>
      <w:r>
        <w:rPr/>
        <w:t xml:space="preserve"> - амплитуда, определенная алгоритмом, мВ.</w:t>
      </w:r>
    </w:p>
    <w:p>
      <w:pPr>
        <w:pStyle w:val="BodyText"/>
        <w:rPr/>
      </w:pPr>
      <w:r>
        <w:rPr/>
        <w:t>Относительная погрешность измерения амплитуды:</w:t>
      </w:r>
    </w:p>
    <w:p>
      <w:pPr>
        <w:pStyle w:val="BodyText"/>
        <w:rPr/>
      </w:pPr>
      <w:r>
        <w:rPr/>
      </w:r>
      <m:oMath xmlns:m="http://schemas.openxmlformats.org/officeDocument/2006/math">
        <m:sSub>
          <m:e>
            <m:r>
              <m:t xml:space="preserve">Δ</m:t>
            </m:r>
          </m:e>
          <m:sub>
            <m:r>
              <m:t xml:space="preserve">Ae</m:t>
            </m:r>
          </m:sub>
        </m:sSub>
        <m:r>
          <m:t xml:space="preserve">=</m:t>
        </m:r>
        <m:d>
          <m:dPr>
            <m:begChr m:val="("/>
            <m:endChr m:val=")"/>
          </m:dPr>
          <m:e>
            <m:f>
              <m:fPr>
                <m:type m:val="lin"/>
              </m:fPr>
              <m:num>
                <m:sSub>
                  <m:e>
                    <m:r>
                      <m:t xml:space="preserve">Δ</m:t>
                    </m:r>
                  </m:e>
                  <m:sub>
                    <m:r>
                      <m:t xml:space="preserve">A</m:t>
                    </m:r>
                  </m:sub>
                </m:sSub>
              </m:num>
              <m:den>
                <m:sSub>
                  <m:e>
                    <m:r>
                      <m:t xml:space="preserve">A</m:t>
                    </m:r>
                  </m:e>
                  <m:sub>
                    <m:r>
                      <m:t xml:space="preserve">ref</m:t>
                    </m:r>
                  </m:sub>
                </m:sSub>
              </m:den>
            </m:f>
          </m:e>
        </m:d>
        <m:r>
          <m:t xml:space="preserve">∗</m:t>
        </m:r>
        <m:r>
          <m:t xml:space="preserve">100</m:t>
        </m:r>
      </m:oMath>
      <w:r>
        <w:rPr/>
        <w:t>, где:</w:t>
      </w:r>
    </w:p>
    <w:p>
      <w:pPr>
        <w:pStyle w:val="BodyText"/>
        <w:rPr/>
      </w:pPr>
      <w:r>
        <w:rPr/>
        <w:t>- Δ</w:t>
      </w:r>
      <w:r>
        <w:rPr>
          <w:vertAlign w:val="subscript"/>
        </w:rPr>
        <w:t>Aе</w:t>
      </w:r>
      <w:r>
        <w:rPr/>
        <w:t xml:space="preserve"> - относительная погрешность измерения амплитуды, %;</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A</w:t>
      </w:r>
      <w:r>
        <w:rPr>
          <w:vertAlign w:val="subscript"/>
        </w:rPr>
        <w:t>ref</w:t>
      </w:r>
      <w:r>
        <w:rPr/>
        <w:t xml:space="preserve"> - эталонная амплитуда сигнала, мВ;</w:t>
      </w:r>
    </w:p>
    <w:p>
      <w:pPr>
        <w:pStyle w:val="BodyText"/>
        <w:rPr/>
      </w:pPr>
      <w:r>
        <w:rPr/>
        <w:t>Результаты измерений сведены в таблицу 3.1.</w:t>
      </w:r>
      <w:r>
        <w:br w:type="page"/>
      </w:r>
    </w:p>
    <w:p>
      <w:pPr>
        <w:pStyle w:val="Media"/>
        <w:spacing w:before="0" w:after="0"/>
        <w:rPr/>
      </w:pPr>
      <w:r>
        <w:rPr/>
        <w:t>Таблица 3.1 — результаты измерений</w:t>
      </w:r>
    </w:p>
    <w:tbl>
      <w:tblPr>
        <w:tblW w:w="5000" w:type="pct"/>
        <w:jc w:val="start"/>
        <w:tblInd w:w="0" w:type="dxa"/>
        <w:tblLayout w:type="fixed"/>
        <w:tblCellMar>
          <w:top w:w="0" w:type="dxa"/>
          <w:start w:w="5" w:type="dxa"/>
          <w:bottom w:w="0" w:type="dxa"/>
          <w:end w:w="5" w:type="dxa"/>
        </w:tblCellMar>
        <w:tblLook w:val="04a0" w:noHBand="0" w:noVBand="1" w:firstColumn="1" w:lastRow="0" w:lastColumn="0" w:firstRow="1"/>
      </w:tblPr>
      <w:tblGrid>
        <w:gridCol w:w="1825"/>
        <w:gridCol w:w="968"/>
        <w:gridCol w:w="940"/>
        <w:gridCol w:w="1127"/>
        <w:gridCol w:w="1101"/>
        <w:gridCol w:w="927"/>
        <w:gridCol w:w="853"/>
        <w:gridCol w:w="822"/>
        <w:gridCol w:w="791"/>
      </w:tblGrid>
      <w:tr>
        <w:trPr/>
        <w:tc>
          <w:tcPr>
            <w:tcW w:w="1825" w:type="dxa"/>
            <w:tcBorders>
              <w:top w:val="single" w:sz="4"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Имитация</w:t>
            </w:r>
          </w:p>
          <w:p>
            <w:pPr>
              <w:pStyle w:val="Normal"/>
              <w:ind w:hanging="0"/>
              <w:rPr>
                <w:rFonts w:ascii="Times New Roman" w:hAnsi="Times New Roman"/>
              </w:rPr>
            </w:pPr>
            <w:r>
              <w:rPr>
                <w:rFonts w:ascii="Times New Roman" w:hAnsi="Times New Roman"/>
              </w:rPr>
              <w:t>внутреннего</w:t>
            </w:r>
          </w:p>
          <w:p>
            <w:pPr>
              <w:pStyle w:val="Normal"/>
              <w:ind w:hanging="0"/>
              <w:rPr>
                <w:rFonts w:ascii="Times New Roman" w:hAnsi="Times New Roman"/>
              </w:rPr>
            </w:pPr>
            <w:r>
              <w:rPr>
                <w:rFonts w:ascii="Times New Roman" w:hAnsi="Times New Roman"/>
              </w:rPr>
              <w:t>сопротивления</w:t>
            </w:r>
          </w:p>
        </w:tc>
        <w:tc>
          <w:tcPr>
            <w:tcW w:w="968"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f</w:t>
            </w:r>
            <w:r>
              <w:rPr>
                <w:rFonts w:ascii="Times New Roman" w:hAnsi="Times New Roman"/>
                <w:vertAlign w:val="subscript"/>
              </w:rPr>
              <w:t>ref</w:t>
            </w:r>
            <w:r>
              <w:rPr>
                <w:rFonts w:ascii="Times New Roman" w:hAnsi="Times New Roman"/>
              </w:rPr>
              <w:t>, КГц</w:t>
            </w:r>
          </w:p>
        </w:tc>
        <w:tc>
          <w:tcPr>
            <w:tcW w:w="940"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A</w:t>
            </w:r>
            <w:r>
              <w:rPr>
                <w:rFonts w:ascii="Times New Roman" w:hAnsi="Times New Roman"/>
                <w:vertAlign w:val="subscript"/>
              </w:rPr>
              <w:t>ref</w:t>
            </w:r>
            <w:r>
              <w:rPr>
                <w:rFonts w:ascii="Times New Roman" w:hAnsi="Times New Roman"/>
              </w:rPr>
              <w:t>, мВ</w:t>
            </w:r>
          </w:p>
        </w:tc>
        <w:tc>
          <w:tcPr>
            <w:tcW w:w="1127"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f</w:t>
            </w:r>
            <w:r>
              <w:rPr>
                <w:rFonts w:ascii="Times New Roman" w:hAnsi="Times New Roman"/>
                <w:vertAlign w:val="subscript"/>
              </w:rPr>
              <w:t>meas</w:t>
            </w:r>
            <w:r>
              <w:rPr>
                <w:rFonts w:ascii="Times New Roman" w:hAnsi="Times New Roman"/>
              </w:rPr>
              <w:t>, КГц</w:t>
            </w:r>
          </w:p>
        </w:tc>
        <w:tc>
          <w:tcPr>
            <w:tcW w:w="1101"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A</w:t>
            </w:r>
            <w:r>
              <w:rPr>
                <w:rFonts w:ascii="Times New Roman" w:hAnsi="Times New Roman"/>
                <w:vertAlign w:val="subscript"/>
              </w:rPr>
              <w:t>meas</w:t>
            </w:r>
            <w:r>
              <w:rPr>
                <w:rFonts w:ascii="Times New Roman" w:hAnsi="Times New Roman"/>
              </w:rPr>
              <w:t>, мВ</w:t>
            </w:r>
          </w:p>
        </w:tc>
        <w:tc>
          <w:tcPr>
            <w:tcW w:w="927"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f</w:t>
            </w:r>
            <w:r>
              <w:rPr>
                <w:rFonts w:ascii="Times New Roman" w:hAnsi="Times New Roman"/>
              </w:rPr>
              <w:t>, КГц</w:t>
            </w:r>
          </w:p>
        </w:tc>
        <w:tc>
          <w:tcPr>
            <w:tcW w:w="853"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fe</w:t>
            </w:r>
            <w:r>
              <w:rPr>
                <w:rFonts w:ascii="Times New Roman" w:hAnsi="Times New Roman"/>
              </w:rPr>
              <w:t>, %</w:t>
            </w:r>
          </w:p>
        </w:tc>
        <w:tc>
          <w:tcPr>
            <w:tcW w:w="822" w:type="dxa"/>
            <w:tcBorders>
              <w:top w:val="single" w:sz="4"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A</w:t>
            </w:r>
            <w:r>
              <w:rPr>
                <w:rFonts w:ascii="Times New Roman" w:hAnsi="Times New Roman"/>
              </w:rPr>
              <w:t>, мВ</w:t>
            </w:r>
          </w:p>
        </w:tc>
        <w:tc>
          <w:tcPr>
            <w:tcW w:w="791" w:type="dxa"/>
            <w:tcBorders>
              <w:top w:val="single" w:sz="4"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Δ</w:t>
            </w:r>
            <w:r>
              <w:rPr>
                <w:rFonts w:ascii="Times New Roman" w:hAnsi="Times New Roman"/>
                <w:vertAlign w:val="subscript"/>
              </w:rPr>
              <w:t>Ae</w:t>
            </w:r>
            <w:r>
              <w:rPr>
                <w:rFonts w:ascii="Times New Roman" w:hAnsi="Times New Roman"/>
              </w:rPr>
              <w:t>, %</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809</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13,75</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816,41</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3,75</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37,5</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7,41</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0,92</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298,83</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183,59</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1,17</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0,39</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17,41</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8,66</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299,43</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746,09</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0,57</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0,19</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55,91</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6,97</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398,83</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175,78</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1,17</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0,29</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25,22</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12,55</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703,12</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0,29</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98,88</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12,33</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164,06</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0,23</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36,94</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18,38</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да</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652,34</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0,23</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149,66</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18,66</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809</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11,76</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832,03</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1,76</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17,63</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23,03</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2,85</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298,84</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207,03</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0,39</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6,03</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3</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299,42</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816,41</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0,58</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0,19</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14,41</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399,97</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207,03</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0,03</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0,01</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6,03</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3</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399,46</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816,41</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0,54</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0,13</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14,41</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1,8</w:t>
            </w:r>
          </w:p>
        </w:tc>
      </w:tr>
      <w:tr>
        <w:trPr/>
        <w:tc>
          <w:tcPr>
            <w:tcW w:w="1825" w:type="dxa"/>
            <w:tcBorders>
              <w:top w:val="single" w:sz="6" w:space="0" w:color="000000"/>
              <w:start w:val="single" w:sz="4" w:space="0" w:color="000000"/>
              <w:bottom w:val="single" w:sz="6" w:space="0" w:color="000000"/>
              <w:end w:val="single" w:sz="6" w:space="0" w:color="000000"/>
            </w:tcBorders>
          </w:tcPr>
          <w:p>
            <w:pPr>
              <w:pStyle w:val="Normal"/>
              <w:keepNext w:val="true"/>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40"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201</w:t>
            </w:r>
          </w:p>
        </w:tc>
        <w:tc>
          <w:tcPr>
            <w:tcW w:w="11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498,82</w:t>
            </w:r>
          </w:p>
        </w:tc>
        <w:tc>
          <w:tcPr>
            <w:tcW w:w="1101"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203,12</w:t>
            </w:r>
          </w:p>
        </w:tc>
        <w:tc>
          <w:tcPr>
            <w:tcW w:w="927"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1,18</w:t>
            </w:r>
          </w:p>
        </w:tc>
        <w:tc>
          <w:tcPr>
            <w:tcW w:w="853"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0,24</w:t>
            </w:r>
          </w:p>
        </w:tc>
        <w:tc>
          <w:tcPr>
            <w:tcW w:w="822" w:type="dxa"/>
            <w:tcBorders>
              <w:top w:val="single" w:sz="6" w:space="0" w:color="000000"/>
              <w:start w:val="single" w:sz="6" w:space="0" w:color="000000"/>
              <w:bottom w:val="single" w:sz="6" w:space="0" w:color="000000"/>
              <w:end w:val="single" w:sz="6" w:space="0" w:color="000000"/>
            </w:tcBorders>
          </w:tcPr>
          <w:p>
            <w:pPr>
              <w:pStyle w:val="Normal"/>
              <w:ind w:hanging="0"/>
              <w:rPr>
                <w:rFonts w:ascii="Times New Roman" w:hAnsi="Times New Roman"/>
              </w:rPr>
            </w:pPr>
            <w:r>
              <w:rPr>
                <w:rFonts w:ascii="Times New Roman" w:hAnsi="Times New Roman"/>
              </w:rPr>
              <w:t>2,12</w:t>
            </w:r>
          </w:p>
        </w:tc>
        <w:tc>
          <w:tcPr>
            <w:tcW w:w="791" w:type="dxa"/>
            <w:tcBorders>
              <w:top w:val="single" w:sz="6" w:space="0" w:color="000000"/>
              <w:start w:val="single" w:sz="6" w:space="0" w:color="000000"/>
              <w:bottom w:val="single" w:sz="6" w:space="0" w:color="000000"/>
              <w:end w:val="single" w:sz="4" w:space="0" w:color="000000"/>
            </w:tcBorders>
          </w:tcPr>
          <w:p>
            <w:pPr>
              <w:pStyle w:val="Normal"/>
              <w:ind w:hanging="0"/>
              <w:rPr>
                <w:rFonts w:ascii="Times New Roman" w:hAnsi="Times New Roman"/>
              </w:rPr>
            </w:pPr>
            <w:r>
              <w:rPr>
                <w:rFonts w:ascii="Times New Roman" w:hAnsi="Times New Roman"/>
              </w:rPr>
              <w:t>1,06</w:t>
            </w:r>
          </w:p>
        </w:tc>
      </w:tr>
      <w:tr>
        <w:trPr/>
        <w:tc>
          <w:tcPr>
            <w:tcW w:w="1825" w:type="dxa"/>
            <w:tcBorders>
              <w:top w:val="single" w:sz="6" w:space="0" w:color="000000"/>
              <w:start w:val="single" w:sz="4"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нет</w:t>
            </w:r>
          </w:p>
        </w:tc>
        <w:tc>
          <w:tcPr>
            <w:tcW w:w="968"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500</w:t>
            </w:r>
          </w:p>
        </w:tc>
        <w:tc>
          <w:tcPr>
            <w:tcW w:w="940"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802</w:t>
            </w:r>
          </w:p>
        </w:tc>
        <w:tc>
          <w:tcPr>
            <w:tcW w:w="1127"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498,84</w:t>
            </w:r>
          </w:p>
        </w:tc>
        <w:tc>
          <w:tcPr>
            <w:tcW w:w="1101"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800,78</w:t>
            </w:r>
          </w:p>
        </w:tc>
        <w:tc>
          <w:tcPr>
            <w:tcW w:w="927"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1,16</w:t>
            </w:r>
          </w:p>
        </w:tc>
        <w:tc>
          <w:tcPr>
            <w:tcW w:w="853"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0,23</w:t>
            </w:r>
          </w:p>
        </w:tc>
        <w:tc>
          <w:tcPr>
            <w:tcW w:w="822" w:type="dxa"/>
            <w:tcBorders>
              <w:top w:val="single" w:sz="6" w:space="0" w:color="000000"/>
              <w:start w:val="single" w:sz="6" w:space="0" w:color="000000"/>
              <w:bottom w:val="single" w:sz="4" w:space="0" w:color="000000"/>
              <w:end w:val="single" w:sz="6" w:space="0" w:color="000000"/>
            </w:tcBorders>
          </w:tcPr>
          <w:p>
            <w:pPr>
              <w:pStyle w:val="Normal"/>
              <w:ind w:hanging="0"/>
              <w:rPr>
                <w:rFonts w:ascii="Times New Roman" w:hAnsi="Times New Roman"/>
              </w:rPr>
            </w:pPr>
            <w:r>
              <w:rPr>
                <w:rFonts w:ascii="Times New Roman" w:hAnsi="Times New Roman"/>
              </w:rPr>
              <w:t>1,22</w:t>
            </w:r>
          </w:p>
        </w:tc>
        <w:tc>
          <w:tcPr>
            <w:tcW w:w="791" w:type="dxa"/>
            <w:tcBorders>
              <w:top w:val="single" w:sz="6" w:space="0" w:color="000000"/>
              <w:start w:val="single" w:sz="6" w:space="0" w:color="000000"/>
              <w:bottom w:val="single" w:sz="4" w:space="0" w:color="000000"/>
              <w:end w:val="single" w:sz="4" w:space="0" w:color="000000"/>
            </w:tcBorders>
          </w:tcPr>
          <w:p>
            <w:pPr>
              <w:pStyle w:val="Normal"/>
              <w:ind w:hanging="0"/>
              <w:rPr>
                <w:rFonts w:ascii="Times New Roman" w:hAnsi="Times New Roman"/>
              </w:rPr>
            </w:pPr>
            <w:r>
              <w:rPr>
                <w:rFonts w:ascii="Times New Roman" w:hAnsi="Times New Roman"/>
              </w:rPr>
              <w:t>0,15</w:t>
            </w:r>
          </w:p>
        </w:tc>
      </w:tr>
    </w:tbl>
    <w:p>
      <w:pPr>
        <w:pStyle w:val="BodyText"/>
        <w:rPr/>
      </w:pPr>
      <w:r>
        <w:rPr/>
      </w:r>
    </w:p>
    <w:p>
      <w:pPr>
        <w:pStyle w:val="BodyText"/>
        <w:rPr/>
      </w:pPr>
      <w:r>
        <w:rPr/>
        <w:t>Из результатов в таблице 3.1 можно сделать ряд выводов. Во-первых, частотная ошибка практически во всех тестах укладывается в 0.5%, что является отличным показателем качества работы алгоритма определения частоты. Однако, частотная ошибка в тесте сигнала на 10КГц существенная, поскольку алгоритм не накопил статистику и не смог корректно вычислить частоту сигнала. Этот недостаток можно устранить, если доработать алгоритм (вместо подсчета количества переходов и деления на время оцифровки, нужно сместить «начало» измерения частоты на момент перехода сигнала через центральную точку, и «конец» измерения поставить на последнем таком переходе; таким образом, будет повышена точность алгоритма на низких частотах, а на высоких частотах это не окажет значительного влияния).</w:t>
      </w:r>
    </w:p>
    <w:p>
      <w:pPr>
        <w:pStyle w:val="BodyText"/>
        <w:rPr/>
      </w:pPr>
      <w:r>
        <w:rPr/>
        <w:t>Измерение амплитуды работает не на столько точно, как измерение частоты. Видно, что во всех результатах без имитации внутреннего сопротивления источника сигнала, погрешность составляет не более 3%, что является допустимым результатом. На точность измерения отрицательным образом влияет низкое разрешение АЦП, в технической документации указано 7.2 бита эффективности в режиме работы, аналогичному в используемой схеме. Поэтому результат отчасти зависит от того, в какую сторону «округлит» значение АЦП при оцифровке сигнала. Именно это произошло с сигналом 500КГц с амплитудой 802мВ. При этом, без имитации внутреннего сопротивления источника сигнала, измерение амплитуды работает одинаково на всем диапазоне исследуемых частот.</w:t>
      </w:r>
    </w:p>
    <w:p>
      <w:pPr>
        <w:pStyle w:val="BodyText"/>
        <w:rPr/>
      </w:pPr>
      <w:r>
        <w:rPr/>
        <w:t>А вот испытания с нагрузочным резистором показывают, что с ростом частоты увеличивается ошибка измерения амплитуды. Происходит это из-за влияния паразитной емкости проводов между источником сигнала и измерительной цепью. По этой причине рекомендуется устанавливать аналоговый буфер в точке приема сигнала, чтобы существенно снизить влияние паразитных емкостей на результат измерений.</w:t>
      </w:r>
    </w:p>
    <w:p>
      <w:pPr>
        <w:pStyle w:val="BodyText"/>
        <w:rPr/>
      </w:pPr>
      <w:r>
        <w:rPr/>
        <w:t>Полученные результаты подтверждают работоспособность предложенного подхода и показывают, что разработанное устройство обеспечивает требуемую точность измерения параметров периодических сигналов в исследуемом диапазоне частот.</w:t>
      </w:r>
    </w:p>
    <w:p>
      <w:pPr>
        <w:pStyle w:val="Normal"/>
        <w:spacing w:lineRule="auto" w:line="240"/>
        <w:ind w:hanging="0"/>
        <w:jc w:val="start"/>
        <w:rPr>
          <w:rFonts w:ascii="Times New Roman" w:hAnsi="Times New Roman" w:eastAsia="Calibri"/>
          <w:sz w:val="28"/>
          <w:szCs w:val="20"/>
        </w:rPr>
      </w:pPr>
      <w:r>
        <w:rPr>
          <w:rFonts w:eastAsia="Calibri" w:ascii="Times New Roman" w:hAnsi="Times New Roman"/>
          <w:sz w:val="28"/>
          <w:szCs w:val="20"/>
        </w:rPr>
      </w:r>
      <w:r>
        <w:br w:type="page"/>
      </w:r>
    </w:p>
    <w:p>
      <w:pPr>
        <w:pStyle w:val="Heading1"/>
        <w:numPr>
          <w:ilvl w:val="0"/>
          <w:numId w:val="1"/>
        </w:numPr>
        <w:spacing w:before="0" w:after="0"/>
        <w:ind w:firstLine="709"/>
        <w:rPr>
          <w:rStyle w:val="1"/>
          <w:rFonts w:ascii="Times New Roman" w:hAnsi="Times New Roman" w:cs="Calibri Light"/>
          <w:b/>
          <w:bCs/>
          <w:color w:val="auto"/>
        </w:rPr>
      </w:pPr>
      <w:r>
        <w:rPr>
          <w:rStyle w:val="1"/>
          <w:rFonts w:cs="Calibri Light"/>
          <w:b/>
          <w:bCs/>
          <w:color w:val="auto"/>
        </w:rPr>
        <w:t>ЗАКЛЮЧЕНИЕ</w:t>
      </w:r>
    </w:p>
    <w:p>
      <w:pPr>
        <w:pStyle w:val="BodyText"/>
        <w:rPr/>
      </w:pPr>
      <w:r>
        <w:rPr/>
      </w:r>
    </w:p>
    <w:p>
      <w:pPr>
        <w:pStyle w:val="BodyText"/>
        <w:rPr/>
      </w:pPr>
      <w:r>
        <w:rPr/>
        <w:t>В ходе выполнения выпускной квалификационной работы была решена задача разработки устройства измерения параметров периодических сигналов, предназначенного для работы в условиях воздействия помех.</w:t>
      </w:r>
    </w:p>
    <w:p>
      <w:pPr>
        <w:pStyle w:val="BodyText"/>
        <w:rPr/>
      </w:pPr>
      <w:r>
        <w:rPr/>
        <w:t>В первой главе были рассмотрены основные параметры периодических сигналов, проанализированы виды помех, оказывающих влияние на результаты измерений, выполнен обзор существующих методов определения параметров сигналов и проведен анализ известных технических решений. На основании проведенного анализа были сформулированы требования к разрабатываемому устройству и определены критерии оценки возможных методов решения поставленной задачи.</w:t>
      </w:r>
    </w:p>
    <w:p>
      <w:pPr>
        <w:pStyle w:val="BodyText"/>
        <w:rPr/>
      </w:pPr>
      <w:r>
        <w:rPr/>
        <w:t>Во второй главе были рассмотрены различные подходы к измерению параметров периодических сигналов. Проведенное сравнение показало, что наиболее перспективным является подход, основанный на полной оцифровке сигнала с последующей цифровой обработкой данных. Такой подход обеспечивает необходимую гибкость алгоритмов и позволяет изменять методы обработки без внесения изменений в аппаратную часть устройства. Также были выбраны основные алгоритмы обработки данных и разработана структурная схема измерительного устройства.</w:t>
      </w:r>
    </w:p>
    <w:p>
      <w:pPr>
        <w:pStyle w:val="BodyText"/>
        <w:rPr/>
      </w:pPr>
      <w:r>
        <w:rPr/>
        <w:t>В третьей главе выполнена разработка электрической принципиальной схемы устройства, произведен выбор элементной базы и выполнена оценка потребляемой мощности. Для реализации устройства использован высокоскоростной аналого-цифровой преобразователь AD9057BRSZ-40 и микроконтроллер STM32F407VET6. Разработанное устройство обеспечивает оцифровку исследуемого сигнала с последующей передачей данных в программный модуль обработки.</w:t>
      </w:r>
    </w:p>
    <w:p>
      <w:pPr>
        <w:pStyle w:val="BodyText"/>
        <w:rPr/>
      </w:pPr>
      <w:r>
        <w:rPr/>
        <w:t>Для проверки работоспособности разработанного решения был изготовлен макетный образец устройства и проведены экспериментальные исследования. Испытания выполнялись на синусоидальных сигналах различной частоты и амплитуды. Полученные результаты показали, что разработанный алгоритм обеспечивает высокую точность определения частоты сигнала. Погрешность измерения амплитуды оказалась несколько выше, что связано с ограниченным разрешением примененного аналого-цифрового преобразователя и влиянием аналогового тракта измерения. Тем не менее полученные результаты подтвердили соответствие разработанного устройства предъявляемым требованиям по точности измерений.</w:t>
      </w:r>
    </w:p>
    <w:p>
      <w:pPr>
        <w:pStyle w:val="BodyText"/>
        <w:rPr/>
      </w:pPr>
      <w:r>
        <w:rPr/>
        <w:t>В ходе испытаний также было установлено влияние паразитных параметров соединительных цепей на результаты измерения амплитуды при повышении частоты сигнала. Полученные данные позволяют сформулировать рекомендации по дальнейшему совершенствованию устройства, включая оптимизацию алгоритмов обработки данных и улучшение входного аналогового тракта.</w:t>
      </w:r>
    </w:p>
    <w:p>
      <w:pPr>
        <w:pStyle w:val="BodyText"/>
        <w:rPr/>
      </w:pPr>
      <w:r>
        <w:rPr/>
        <w:t>Таким образом, цель работы — создание устройства измерения параметров периодических сигналов, обеспечивающего заданную точность измерения в условиях помех — достигнута. Разработанное устройство может быть использовано в составе испытательных стендов, автоматизированных измерительных комплексов и специализированного оборудования для исследования параметров электронных устройств.</w:t>
      </w:r>
    </w:p>
    <w:p>
      <w:pPr>
        <w:pStyle w:val="BodyText"/>
        <w:rPr/>
      </w:pPr>
      <w:r>
        <w:rPr/>
        <w:t>Полученные результаты подтверждают возможность эффективного применения комплексного подхода, сочетающего аппаратную фильтрацию, цифровую фильтрацию и последующую статистическую обработку данных для повышения точности измерения параметров периодических сигналов в условиях воздействия помех.</w:t>
      </w:r>
    </w:p>
    <w:p>
      <w:pPr>
        <w:pStyle w:val="BodyText"/>
        <w:rPr/>
      </w:pPr>
      <w:r>
        <w:rPr/>
      </w:r>
      <w:r>
        <w:br w:type="page"/>
      </w:r>
    </w:p>
    <w:p>
      <w:pPr>
        <w:pStyle w:val="Heading1"/>
        <w:numPr>
          <w:ilvl w:val="0"/>
          <w:numId w:val="1"/>
        </w:numPr>
        <w:spacing w:before="0" w:after="0"/>
        <w:ind w:hanging="0"/>
        <w:rPr/>
      </w:pPr>
      <w:bookmarkStart w:id="17" w:name="__RefHeading___Toc229529025"/>
      <w:bookmarkEnd w:id="17"/>
      <w:r>
        <w:rPr/>
        <w:t>СПИСОК ИСПОЛЬЗОВАННЫХ ИСТОЧНИКОВ</w:t>
      </w:r>
    </w:p>
    <w:p>
      <w:pPr>
        <w:pStyle w:val="BodyText"/>
        <w:rPr/>
      </w:pPr>
      <w:r>
        <w:rPr/>
      </w:r>
    </w:p>
    <w:p>
      <w:pPr>
        <w:pStyle w:val="BodyText"/>
        <w:rPr/>
      </w:pPr>
      <w:r>
        <w:rPr>
          <w:spacing w:val="-2"/>
          <w:szCs w:val="28"/>
        </w:rPr>
        <w:t xml:space="preserve">1. </w:t>
      </w:r>
      <w:r>
        <w:rPr>
          <w:szCs w:val="28"/>
        </w:rPr>
        <w:t xml:space="preserve">Новиков, Ю. Н. Подготовка и защита магистерских диссертаций и бакалаврских работ : учебно-методическое пособие / Ю. Н. Новиков. — 2-е изд., стер. — Санкт-Петербург : Лань, 2022. — 32 с. — ISBN 978-5-8114-1449-9. — Текст : электронный // Лань : электронно-библиотечная система. — URL: </w:t>
      </w:r>
      <w:r>
        <w:rPr>
          <w:rStyle w:val="Hyperlink"/>
          <w:color w:val="auto"/>
          <w:szCs w:val="28"/>
          <w:u w:val="none"/>
        </w:rPr>
        <w:t>https://e.lanbook.com/book/212054</w:t>
      </w:r>
      <w:r>
        <w:rPr>
          <w:szCs w:val="28"/>
        </w:rPr>
        <w:t xml:space="preserve">  (дата обращения: 13.05.2026). — Режим доступа: для авториз. пользователей.</w:t>
      </w:r>
    </w:p>
    <w:p>
      <w:pPr>
        <w:pStyle w:val="BodyText"/>
        <w:rPr/>
      </w:pPr>
      <w:r>
        <w:rPr>
          <w:szCs w:val="28"/>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color w:val="auto"/>
          <w:szCs w:val="28"/>
          <w:u w:val="none"/>
        </w:rPr>
        <w:t>https://www.iprbookshop.ru/72577.html</w:t>
      </w:r>
      <w:r>
        <w:rPr>
          <w:szCs w:val="28"/>
        </w:rPr>
        <w:t xml:space="preserve">  (дата обращения: 13.05.2026). — Режим доступа: для авторизир. пользователей</w:t>
      </w:r>
    </w:p>
    <w:p>
      <w:pPr>
        <w:pStyle w:val="BodyText"/>
        <w:rPr/>
      </w:pPr>
      <w:r>
        <w:rPr>
          <w:szCs w:val="28"/>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color w:val="auto"/>
          <w:szCs w:val="28"/>
          <w:u w:val="none"/>
        </w:rPr>
        <w:t>http://oreluniver.ru/support/education</w:t>
      </w:r>
    </w:p>
    <w:p>
      <w:pPr>
        <w:pStyle w:val="BodyText"/>
        <w:rPr/>
      </w:pPr>
      <w:r>
        <w:rPr>
          <w:szCs w:val="28"/>
        </w:rPr>
        <w:t xml:space="preserve">4. Положение о выпускной квалификационной работе — Режим доступа: </w:t>
      </w:r>
      <w:r>
        <w:rPr>
          <w:rStyle w:val="Hyperlink"/>
          <w:color w:val="auto"/>
          <w:szCs w:val="28"/>
          <w:u w:val="none"/>
        </w:rPr>
        <w:t>http://oreluniver.ru/support/education</w:t>
      </w:r>
    </w:p>
    <w:p>
      <w:pPr>
        <w:pStyle w:val="BodyText"/>
        <w:rPr/>
      </w:pPr>
      <w:r>
        <w:rPr>
          <w:szCs w:val="28"/>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color w:val="000000"/>
          <w:shd w:fill="FFFFFF" w:val="clear"/>
        </w:rPr>
        <w:t> </w:t>
      </w:r>
      <w:r>
        <w:rPr>
          <w:rStyle w:val="Hyperlink"/>
          <w:color w:val="000000"/>
          <w:szCs w:val="28"/>
          <w:u w:val="none"/>
          <w:shd w:fill="FFFFFF" w:val="clear"/>
        </w:rPr>
        <w:t>https://elib.oreluniver.ru/m/19d3f6fa-9253-4b83-9a09-daa98a7532dd</w:t>
      </w:r>
      <w:r>
        <w:rPr/>
        <w:t xml:space="preserve"> </w:t>
      </w:r>
      <w:r>
        <w:rPr>
          <w:szCs w:val="28"/>
        </w:rPr>
        <w:t>(дата обращения: 13.05.2026). — Режим доступа: для авторизир. пользователей</w:t>
      </w:r>
    </w:p>
    <w:p>
      <w:pPr>
        <w:pStyle w:val="BodyText"/>
        <w:rPr/>
      </w:pPr>
      <w:r>
        <w:rPr>
          <w:color w:val="000000"/>
          <w:szCs w:val="28"/>
        </w:rPr>
        <w:t xml:space="preserve">6. </w:t>
      </w:r>
      <w:r>
        <w:rPr>
          <w:szCs w:val="28"/>
        </w:rPr>
        <w:t xml:space="preserve">Периодические сигналы </w:t>
      </w:r>
      <w:r>
        <w:rPr>
          <w:rStyle w:val="Hyperlink"/>
          <w:color w:val="auto"/>
          <w:szCs w:val="28"/>
          <w:u w:val="none"/>
        </w:rPr>
        <w:t>https://studfile.net/preview/7013044/page:2</w:t>
      </w:r>
    </w:p>
    <w:p>
      <w:pPr>
        <w:pStyle w:val="BodyText"/>
        <w:rPr/>
      </w:pPr>
      <w:r>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приeмниках.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lang w:val="en-US"/>
        </w:rPr>
        <w:t>18. Schmitt trigger - Wikipedia (</w:t>
      </w:r>
      <w:r>
        <w:rPr/>
        <w:t>дата</w:t>
      </w:r>
      <w:r>
        <w:rPr>
          <w:lang w:val="en-US"/>
        </w:rPr>
        <w:t xml:space="preserve"> </w:t>
      </w:r>
      <w:r>
        <w:rPr/>
        <w:t>обращения</w:t>
      </w:r>
      <w:r>
        <w:rPr>
          <w:lang w:val="en-US"/>
        </w:rPr>
        <w:t xml:space="preserve">: 30.05.2026). </w:t>
      </w:r>
      <w:r>
        <w:rPr/>
        <w:t>Режим доступа - https://en.wikipedia.org/wiki/Schmitt_trigger</w:t>
      </w:r>
    </w:p>
    <w:p>
      <w:pPr>
        <w:pStyle w:val="BodyText"/>
        <w:rPr/>
      </w:pPr>
      <w:r>
        <w:rPr>
          <w:lang w:val="en-US"/>
        </w:rPr>
        <w:t>19. High Speed ADCs | Analog Devices (</w:t>
      </w:r>
      <w:r>
        <w:rPr/>
        <w:t>дата</w:t>
      </w:r>
      <w:r>
        <w:rPr>
          <w:lang w:val="en-US"/>
        </w:rPr>
        <w:t xml:space="preserve"> </w:t>
      </w:r>
      <w:r>
        <w:rPr/>
        <w:t>обращения</w:t>
      </w:r>
      <w:r>
        <w:rPr>
          <w:lang w:val="en-US"/>
        </w:rPr>
        <w:t xml:space="preserve">: 30.05.2026). </w:t>
      </w:r>
      <w:r>
        <w:rPr/>
        <w:t>Режим доступа - https://www.analog.com/en/product-category/high-speed-adcs.html</w:t>
      </w:r>
    </w:p>
    <w:p>
      <w:pPr>
        <w:pStyle w:val="BodyText"/>
        <w:rPr/>
      </w:pPr>
      <w:r>
        <w:rPr>
          <w:lang w:val="en-US"/>
        </w:rPr>
        <w:t xml:space="preserve">20. Digital signal processing for STM32 microcontrollers using CMSIS.  </w:t>
      </w:r>
      <w:r>
        <w:rPr/>
        <w:t>(дата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rPr>
          <w:rFonts w:cs="Times New Roman"/>
          <w:color w:val="000000"/>
        </w:rPr>
      </w:pPr>
      <w:bookmarkStart w:id="18" w:name="__RefHeading___Toc229529026"/>
      <w:bookmarkEnd w:id="18"/>
      <w:r>
        <w:rPr>
          <w:rFonts w:cs="Times New Roman"/>
          <w:color w:val="000000"/>
        </w:rPr>
        <w:t>ПРИЛОЖЕНИЯ</w:t>
      </w:r>
    </w:p>
    <w:sectPr>
      <w:headerReference w:type="default" r:id="rId19"/>
      <w:headerReference w:type="first" r:id="rId20"/>
      <w:footerReference w:type="default" r:id="rId21"/>
      <w:footerReference w:type="first" r:id="rId22"/>
      <w:type w:val="nextPage"/>
      <w:pgSz w:w="11906" w:h="16838"/>
      <w:pgMar w:left="1701" w:right="850" w:gutter="0" w:header="708" w:top="1134" w:footer="708"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OpenSymbol">
    <w:altName w:val="Arial Unicode MS"/>
    <w:charset w:val="01" w:characterSet="utf-8"/>
    <w:family w:val="roman"/>
    <w:pitch w:val="variable"/>
  </w:font>
  <w:font w:name="Liberation Mono">
    <w:altName w:val="Courier New"/>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ISOCPEUR">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50396376"/>
    </w:sdtPr>
    <w:sdtContent>
      <w:p>
        <w:pPr>
          <w:pStyle w:val="Header"/>
          <w:jc w:val="center"/>
          <w:rPr/>
        </w:pPr>
        <w:r>
          <w:rPr/>
          <w:fldChar w:fldCharType="begin"/>
        </w:r>
        <w:r>
          <w:rPr/>
          <w:instrText xml:space="preserve"> PAGE </w:instrText>
        </w:r>
        <w:r>
          <w:rPr/>
          <w:fldChar w:fldCharType="separate"/>
        </w:r>
        <w:r>
          <w:rPr/>
          <w:t>2</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50396376"/>
    </w:sdtPr>
    <w:sdtContent>
      <w:p>
        <w:pPr>
          <w:pStyle w:val="Header"/>
          <w:jc w:val="center"/>
          <w:rPr/>
        </w:pPr>
        <w:r>
          <w:rPr/>
          <w:fldChar w:fldCharType="begin"/>
        </w:r>
        <w:r>
          <w:rPr/>
          <w:instrText xml:space="preserve"> PAGE </w:instrText>
        </w:r>
        <w:r>
          <w:rPr/>
          <w:fldChar w:fldCharType="separate"/>
        </w:r>
        <w:r>
          <w:rPr/>
          <w:t>4</w:t>
        </w:r>
        <w:r>
          <w:rPr/>
          <w:fldChar w:fldCharType="end"/>
        </w:r>
      </w:p>
      <w:p>
        <w:pPr>
          <w:pStyle w:val="Header"/>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50396376"/>
    </w:sdtPr>
    <w:sdtContent>
      <w:p>
        <w:pPr>
          <w:pStyle w:val="Header"/>
          <w:jc w:val="center"/>
          <w:rPr/>
        </w:pPr>
        <w:r>
          <w:rPr/>
          <w:fldChar w:fldCharType="begin"/>
        </w:r>
        <w:r>
          <w:rPr/>
          <w:instrText xml:space="preserve"> PAGE </w:instrText>
        </w:r>
        <w:r>
          <w:rPr/>
          <w:fldChar w:fldCharType="separate"/>
        </w:r>
        <w:r>
          <w:rPr/>
          <w:t>5</w:t>
        </w:r>
        <w:r>
          <w:rPr/>
          <w:fldChar w:fldCharType="end"/>
        </w:r>
      </w:p>
      <w:p>
        <w:pPr>
          <w:pStyle w:val="Header"/>
          <w:rPr/>
        </w:pPr>
        <w:r>
          <w:rPr/>
        </w:r>
      </w:p>
    </w:sdtContent>
  </w:sdt>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7"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8"/>
  <w:defaultTabStop w:val="708"/>
  <w:autoHyphenation w:val="true"/>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eastAsia="zh-CN" w:val="ru-RU" w:bidi="ar-SA"/>
    </w:rPr>
  </w:style>
  <w:style w:type="paragraph" w:styleId="Heading1">
    <w:name w:val="Heading 1"/>
    <w:basedOn w:val="Normal"/>
    <w:next w:val="BodyText"/>
    <w:autoRedefine/>
    <w:uiPriority w:val="9"/>
    <w:qFormat/>
    <w:rsid w:val="00e33ec1"/>
    <w:pPr>
      <w:keepNext w:val="true"/>
      <w:keepLines/>
      <w:numPr>
        <w:ilvl w:val="0"/>
        <w:numId w:val="1"/>
      </w:numPr>
      <w:spacing w:before="480" w:after="0"/>
      <w:ind w:firstLine="709"/>
      <w:jc w:val="center"/>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Bullets" w:customStyle="1">
    <w:name w:val="Bullets"/>
    <w:qFormat/>
    <w:rPr>
      <w:rFonts w:ascii="OpenSymbol" w:hAnsi="OpenSymbol" w:eastAsia="OpenSymbol" w:cs="OpenSymbol"/>
    </w:rPr>
  </w:style>
  <w:style w:type="character" w:styleId="SourceText" w:customStyle="1">
    <w:name w:val="Source Text"/>
    <w:qFormat/>
    <w:rPr>
      <w:rFonts w:ascii="Liberation Mono" w:hAnsi="Liberation Mono" w:eastAsia="Liberation Mono" w:cs="Liberation Mono"/>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eastAsia="zh-CN" w:val="ru-RU"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eastAsia="zh-CN" w:val="ru-RU"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customStyle="1">
    <w:name w:val="Frame Contents"/>
    <w:basedOn w:val="Normal"/>
    <w:qFormat/>
    <w:pPr/>
    <w:rPr/>
  </w:style>
  <w:style w:type="paragraph" w:styleId="SourceCode" w:customStyle="1">
    <w:name w:val="Source Code"/>
    <w:basedOn w:val="Normal"/>
    <w:qFormat/>
    <w:pPr/>
    <w:rPr/>
  </w:style>
  <w:style w:type="paragraph" w:styleId="BodyTextFirstIndent">
    <w:name w:val="Body Text First Indent"/>
    <w:basedOn w:val="BodyText"/>
    <w:pPr>
      <w:ind w:firstLine="283"/>
    </w:pPr>
    <w:rPr/>
  </w:style>
  <w:style w:type="paragraph" w:styleId="TOC2">
    <w:name w:val="TOC 2"/>
    <w:basedOn w:val="Index"/>
    <w:pPr>
      <w:tabs>
        <w:tab w:val="clear" w:pos="708"/>
        <w:tab w:val="right" w:pos="9072" w:leader="dot"/>
      </w:tabs>
      <w:ind w:hanging="0"/>
    </w:pPr>
    <w:rPr>
      <w:rFonts w:ascii="Times New Roman" w:hAnsi="Times New Roman"/>
      <w:sz w:val="28"/>
    </w:rPr>
  </w:style>
  <w:style w:type="paragraph" w:styleId="Media" w:customStyle="1">
    <w:name w:val="Media"/>
    <w:basedOn w:val="BodyText"/>
    <w:next w:val="BodyText"/>
    <w:autoRedefine/>
    <w:qFormat/>
    <w:pPr>
      <w:jc w:val="center"/>
    </w:pPr>
    <w:rPr/>
  </w:style>
  <w:style w:type="paragraph" w:styleId="PreformattedText" w:customStyle="1">
    <w:name w:val="Preformatted Text"/>
    <w:basedOn w:val="Normal"/>
    <w:qFormat/>
    <w:pPr/>
    <w:rPr>
      <w:rFonts w:ascii="Liberation Mono" w:hAnsi="Liberation Mono" w:eastAsia="Liberation Mono" w:cs="Liberation Mono"/>
      <w:sz w:val="20"/>
      <w:szCs w:val="20"/>
    </w:rPr>
  </w:style>
  <w:style w:type="paragraph" w:styleId="Style16" w:customStyle="1">
    <w:name w:val="Чертежный"/>
    <w:uiPriority w:val="99"/>
    <w:qFormat/>
    <w:rsid w:val="00a7412b"/>
    <w:pPr>
      <w:widowControl/>
      <w:suppressAutoHyphens w:val="true"/>
      <w:bidi w:val="0"/>
      <w:spacing w:lineRule="atLeast" w:line="100" w:before="0" w:after="0"/>
      <w:jc w:val="both"/>
    </w:pPr>
    <w:rPr>
      <w:rFonts w:ascii="ISOCPEUR" w:hAnsi="ISOCPEUR" w:eastAsia="MS Mincho" w:cs="ISOCPEUR"/>
      <w:i/>
      <w:iCs/>
      <w:color w:val="auto"/>
      <w:kern w:val="2"/>
      <w:sz w:val="28"/>
      <w:szCs w:val="28"/>
      <w:lang w:val="uk-UA" w:eastAsia="hi-IN" w:bidi="hi-IN"/>
    </w:rPr>
  </w:style>
  <w:style w:type="paragraph" w:styleId="HeaderLeft">
    <w:name w:val="Header Left"/>
    <w:basedOn w:val="Header"/>
    <w:qFormat/>
    <w:pPr/>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image" Target="media/image1.png"/><Relationship Id="rId16" Type="http://schemas.openxmlformats.org/officeDocument/2006/relationships/image" Target="media/image2.png"/><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header" Target="header11.xml"/><Relationship Id="rId20" Type="http://schemas.openxmlformats.org/officeDocument/2006/relationships/header" Target="header12.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1856</TotalTime>
  <Application>LibreOffice/24.2.7.2$Linux_X86_64 LibreOffice_project/420$Build-2</Application>
  <AppVersion>15.0000</AppVersion>
  <Pages>78</Pages>
  <Words>13882</Words>
  <Characters>108493</Characters>
  <CharactersWithSpaces>121771</CharactersWithSpaces>
  <Paragraphs>721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2026-06-22T23:39:26Z</dcterms:modified>
  <cp:revision>27</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