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end"/>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b/>
          <w:sz w:val="28"/>
          <w:szCs w:val="28"/>
        </w:rPr>
      </w:pPr>
      <w:r>
        <w:rPr>
          <w:rFonts w:ascii="Times New Roman" w:hAnsi="Times New Roman"/>
          <w:b/>
          <w:sz w:val="28"/>
          <w:szCs w:val="28"/>
        </w:rPr>
        <w:t>ОТЧЕТ</w:t>
      </w:r>
    </w:p>
    <w:p>
      <w:pPr>
        <w:pStyle w:val="Normal"/>
        <w:spacing w:lineRule="auto" w:line="240"/>
        <w:jc w:val="center"/>
        <w:rPr/>
      </w:pPr>
      <w:r>
        <w:rPr>
          <w:rFonts w:ascii="Times New Roman" w:hAnsi="Times New Roman"/>
          <w:sz w:val="28"/>
          <w:szCs w:val="28"/>
        </w:rPr>
        <w:t>по преддипломной практике</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color w:val="000000"/>
          <w:sz w:val="28"/>
          <w:szCs w:val="28"/>
          <w:lang w:eastAsia="ru-RU"/>
        </w:rPr>
      </w:pPr>
      <w:r>
        <w:rPr>
          <w:rFonts w:ascii="Times New Roman" w:hAnsi="Times New Roman"/>
          <w:color w:val="000000"/>
          <w:sz w:val="28"/>
          <w:szCs w:val="28"/>
          <w:lang w:eastAsia="ru-RU"/>
        </w:rPr>
        <w:t>на материалах Молодежного студенческого конструкторского бюро «Электронные технологии» ФГБОУ ВО «Орловский государственный университет имени И.С.Тургенева»</w:t>
      </w:r>
    </w:p>
    <w:p>
      <w:pPr>
        <w:pStyle w:val="Normal"/>
        <w:spacing w:lineRule="auto" w:line="240"/>
        <w:ind w:hanging="0" w:start="330"/>
        <w:rPr>
          <w:highlight w:val="yellow"/>
        </w:rPr>
      </w:pPr>
      <w:r>
        <w:rPr>
          <w:highlight w:val="yellow"/>
        </w:rPr>
      </w:r>
    </w:p>
    <w:p>
      <w:pPr>
        <w:pStyle w:val="Normal"/>
        <w:spacing w:lineRule="auto" w:line="240"/>
        <w:ind w:hanging="0" w:start="330"/>
        <w:rPr/>
      </w:pPr>
      <w:r>
        <w:rPr>
          <w:rFonts w:ascii="Times New Roman" w:hAnsi="Times New Roman"/>
          <w:sz w:val="28"/>
          <w:szCs w:val="28"/>
        </w:rPr>
        <w:t>Студент Остапов В.Р.</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t>Группа 41КЭ-М</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Направление 11.04.03 Конструирование и технология электронных средств</w:t>
      </w:r>
    </w:p>
    <w:p>
      <w:pPr>
        <w:pStyle w:val="Normal"/>
        <w:spacing w:lineRule="auto" w:line="240"/>
        <w:ind w:hanging="0" w:start="330"/>
        <w:jc w:val="center"/>
        <w:rPr>
          <w:rFonts w:ascii="Times New Roman" w:hAnsi="Times New Roman" w:eastAsia="Arial Unicode MS"/>
          <w:color w:val="000000"/>
          <w:sz w:val="24"/>
          <w:szCs w:val="24"/>
          <w:lang w:eastAsia="ru-RU"/>
        </w:rPr>
      </w:pPr>
      <w:r>
        <w:rPr>
          <w:rFonts w:eastAsia="Arial Unicode MS" w:ascii="Times New Roman" w:hAnsi="Times New Roman"/>
          <w:color w:val="000000"/>
          <w:sz w:val="24"/>
          <w:szCs w:val="24"/>
          <w:lang w:eastAsia="ru-RU"/>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от университета </w:t>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 xml:space="preserve">Руководитель практики </w:t>
        <w:tab/>
        <w:tab/>
        <w:tab/>
        <w:tab/>
        <w:tab/>
        <w:tab/>
        <w:t>Донцов В.М.</w:t>
      </w:r>
    </w:p>
    <w:p>
      <w:pPr>
        <w:pStyle w:val="Normal"/>
        <w:spacing w:lineRule="auto" w:line="240"/>
        <w:ind w:hanging="0" w:start="330"/>
        <w:rPr>
          <w:rFonts w:ascii="Times New Roman" w:hAnsi="Times New Roman"/>
          <w:sz w:val="28"/>
          <w:szCs w:val="28"/>
        </w:rPr>
      </w:pPr>
      <w:r>
        <w:rPr>
          <w:rFonts w:ascii="Times New Roman" w:hAnsi="Times New Roman"/>
          <w:sz w:val="28"/>
          <w:szCs w:val="28"/>
        </w:rPr>
        <w:t>от профильной организации</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pPr>
      <w:r>
        <w:rPr>
          <w:rFonts w:ascii="Times New Roman" w:hAnsi="Times New Roman"/>
          <w:sz w:val="28"/>
          <w:szCs w:val="28"/>
        </w:rPr>
        <w:t>Оценка защиты</w:t>
        <w:tab/>
        <w:tab/>
        <w:t xml:space="preserve">      </w:t>
        <w:tab/>
        <w:tab/>
        <w:tab/>
        <w:tab/>
        <w:tab/>
        <w:t>_______________</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pPr>
      <w:r>
        <mc:AlternateContent>
          <mc:Choice Requires="wps">
            <w:drawing>
              <wp:anchor behindDoc="0" distT="5080" distB="5080" distL="5080" distR="5080" simplePos="0" locked="0" layoutInCell="1" allowOverlap="1" relativeHeight="9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ind w:hanging="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firstLine="709" w:end="45"/>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r>
    </w:p>
    <w:p>
      <w:pPr>
        <w:pStyle w:val="Normal"/>
        <w:widowControl w:val="false"/>
        <w:spacing w:lineRule="auto" w:line="240"/>
        <w:ind w:hanging="0" w:end="45"/>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ind w:firstLine="709" w:end="45"/>
        <w:jc w:val="center"/>
        <w:rPr>
          <w:rFonts w:ascii="Times New Roman" w:hAnsi="Times New Roman"/>
          <w:b/>
          <w:sz w:val="28"/>
          <w:szCs w:val="28"/>
        </w:rPr>
      </w:pPr>
      <w:r>
        <w:rPr>
          <w:rFonts w:ascii="Times New Roman" w:hAnsi="Times New Roman"/>
          <w:b/>
          <w:sz w:val="28"/>
          <w:szCs w:val="28"/>
        </w:rPr>
        <w:t>ИНДИВИДУАЛЬНОЕ ЗАДАНИЕ</w:t>
      </w:r>
    </w:p>
    <w:p>
      <w:pPr>
        <w:pStyle w:val="Normal"/>
        <w:spacing w:lineRule="auto" w:line="240"/>
        <w:jc w:val="center"/>
        <w:rPr/>
      </w:pPr>
      <w:r>
        <w:rPr>
          <w:rFonts w:ascii="Times New Roman" w:hAnsi="Times New Roman"/>
          <w:b/>
          <w:sz w:val="28"/>
          <w:szCs w:val="28"/>
        </w:rPr>
        <w:t>на преддипломную практику</w:t>
      </w:r>
    </w:p>
    <w:p>
      <w:pPr>
        <w:pStyle w:val="Normal"/>
        <w:spacing w:lineRule="auto" w:line="240"/>
        <w:jc w:val="center"/>
        <w:rPr>
          <w:rFonts w:ascii="Times New Roman" w:hAnsi="Times New Roman"/>
          <w:b/>
          <w:sz w:val="28"/>
          <w:szCs w:val="28"/>
        </w:rPr>
      </w:pPr>
      <w:r>
        <w:rPr>
          <w:rFonts w:ascii="Times New Roman" w:hAnsi="Times New Roman"/>
          <w:b/>
          <w:sz w:val="28"/>
          <w:szCs w:val="28"/>
        </w:rPr>
      </w:r>
    </w:p>
    <w:p>
      <w:pPr>
        <w:pStyle w:val="Normal"/>
        <w:spacing w:lineRule="auto" w:line="24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jc w:val="start"/>
        <w:rPr/>
      </w:pPr>
      <w:r>
        <w:rPr>
          <w:rFonts w:ascii="Times New Roman" w:hAnsi="Times New Roman"/>
          <w:sz w:val="28"/>
          <w:szCs w:val="28"/>
        </w:rPr>
        <w:t>для обучающегося   Остапова Владислава Руслановича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2 курса  очной формы обучения группы 41КЭ-М</w:t>
      </w:r>
    </w:p>
    <w:p>
      <w:pPr>
        <w:pStyle w:val="Normal"/>
        <w:spacing w:lineRule="auto" w:line="24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color w:val="000000"/>
          <w:sz w:val="28"/>
          <w:szCs w:val="28"/>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Normal"/>
        <w:spacing w:lineRule="auto" w:line="240"/>
        <w:ind w:hanging="0"/>
        <w:rPr/>
      </w:pPr>
      <w:r>
        <w:rPr>
          <w:rFonts w:ascii="Times New Roman" w:hAnsi="Times New Roman"/>
          <w:color w:val="000000"/>
          <w:sz w:val="28"/>
          <w:szCs w:val="28"/>
          <w:lang w:eastAsia="ru-RU"/>
        </w:rPr>
        <w:t xml:space="preserve">Срок прохождения практики </w:t>
      </w:r>
      <w:r>
        <w:rPr>
          <w:rFonts w:ascii="Times New Roman" w:hAnsi="Times New Roman"/>
          <w:bCs/>
          <w:color w:val="000000"/>
          <w:sz w:val="28"/>
          <w:szCs w:val="28"/>
          <w:lang w:eastAsia="ru-RU"/>
        </w:rPr>
        <w:t>с 08 апреля 2026 г. по 21 мая 2026 г.</w:t>
      </w:r>
    </w:p>
    <w:p>
      <w:pPr>
        <w:pStyle w:val="Normal"/>
        <w:spacing w:lineRule="auto" w:line="240"/>
        <w:ind w:hanging="0"/>
        <w:rPr>
          <w:rFonts w:ascii="Times New Roman" w:hAnsi="Times New Roman"/>
          <w:bCs/>
          <w:color w:val="000000"/>
          <w:sz w:val="28"/>
          <w:szCs w:val="28"/>
          <w:lang w:eastAsia="ru-RU"/>
        </w:rPr>
      </w:pPr>
      <w:r>
        <w:rPr>
          <w:rFonts w:ascii="Times New Roman" w:hAnsi="Times New Roman"/>
          <w:bCs/>
          <w:color w:val="000000"/>
          <w:sz w:val="28"/>
          <w:szCs w:val="28"/>
          <w:lang w:eastAsia="ru-RU"/>
        </w:rPr>
      </w:r>
    </w:p>
    <w:p>
      <w:pPr>
        <w:pStyle w:val="Style15"/>
        <w:tabs>
          <w:tab w:val="clear" w:pos="708"/>
          <w:tab w:val="left" w:pos="709"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709" w:leader="none"/>
        </w:tabs>
        <w:spacing w:before="0" w:after="0"/>
        <w:jc w:val="both"/>
        <w:textAlignment w:val="baseline"/>
        <w:rPr>
          <w:b/>
          <w:sz w:val="28"/>
          <w:szCs w:val="28"/>
        </w:rPr>
      </w:pPr>
      <w:r>
        <w:rPr>
          <w:b/>
          <w:sz w:val="28"/>
          <w:szCs w:val="28"/>
        </w:rPr>
        <w:t xml:space="preserve">Содержание практики (вопросы, подлежащие изучению):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анализ состояния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предлагаемые способы решения проблемы, </w:t>
      </w:r>
    </w:p>
    <w:p>
      <w:pPr>
        <w:pStyle w:val="Normal"/>
        <w:spacing w:lineRule="auto" w:line="240"/>
        <w:ind w:hanging="0"/>
        <w:rPr>
          <w:highlight w:val="none"/>
          <w:shd w:fill="auto" w:val="clear"/>
        </w:rPr>
      </w:pPr>
      <w:r>
        <w:rPr>
          <w:rFonts w:ascii="Times New Roman" w:hAnsi="Times New Roman"/>
          <w:color w:val="000000"/>
          <w:sz w:val="28"/>
          <w:szCs w:val="28"/>
          <w:shd w:fill="auto" w:val="clear"/>
          <w:lang w:eastAsia="ru-RU"/>
        </w:rPr>
        <w:t xml:space="preserve">– </w:t>
      </w:r>
      <w:r>
        <w:rPr>
          <w:rFonts w:ascii="Times New Roman" w:hAnsi="Times New Roman"/>
          <w:color w:val="000000"/>
          <w:sz w:val="28"/>
          <w:szCs w:val="28"/>
          <w:shd w:fill="auto"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lang w:eastAsia="ru-RU"/>
        </w:rPr>
      </w:pPr>
      <w:r>
        <w:rPr>
          <w:color w:val="000000"/>
          <w:sz w:val="28"/>
          <w:szCs w:val="28"/>
          <w:lang w:eastAsia="ru-RU"/>
        </w:rPr>
      </w:r>
    </w:p>
    <w:p>
      <w:pPr>
        <w:pStyle w:val="Style15"/>
        <w:tabs>
          <w:tab w:val="clear" w:pos="708"/>
          <w:tab w:val="left" w:pos="1134" w:leader="none"/>
        </w:tabs>
        <w:spacing w:before="0" w:after="0"/>
        <w:jc w:val="both"/>
        <w:textAlignment w:val="baseline"/>
        <w:rPr>
          <w:b/>
          <w:sz w:val="28"/>
          <w:szCs w:val="28"/>
        </w:rPr>
      </w:pPr>
      <w:r>
        <w:rPr>
          <w:b/>
          <w:sz w:val="28"/>
          <w:szCs w:val="28"/>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pPr>
      <w:r>
        <w:rPr>
          <w:rFonts w:ascii="Times New Roman" w:hAnsi="Times New Roman"/>
          <w:sz w:val="28"/>
          <w:szCs w:val="28"/>
        </w:rPr>
        <w:t>–</w:t>
      </w:r>
      <w:r>
        <w:rPr>
          <w:rFonts w:eastAsia="Times New Roman" w:ascii="Times New Roman" w:hAnsi="Times New Roman"/>
          <w:sz w:val="28"/>
          <w:szCs w:val="28"/>
        </w:rPr>
        <w:t xml:space="preserve"> </w:t>
      </w:r>
      <w:r>
        <w:rPr>
          <w:rFonts w:ascii="Times New Roman" w:hAnsi="Times New Roman"/>
          <w:sz w:val="28"/>
          <w:szCs w:val="28"/>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lang w:eastAsia="ru-RU"/>
        </w:rPr>
      </w:pPr>
      <w:r>
        <w:rPr>
          <w:rFonts w:ascii="Times New Roman" w:hAnsi="Times New Roman"/>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lang w:eastAsia="ru-RU"/>
        </w:rPr>
        <w:t xml:space="preserve">Задание принял: ___________  Остапов В.Р.        </w:t>
      </w:r>
      <w:r>
        <w:rPr>
          <w:rFonts w:ascii="Times New Roman" w:hAnsi="Times New Roman"/>
          <w:color w:val="000000"/>
          <w:sz w:val="28"/>
          <w:szCs w:val="28"/>
          <w:lang w:eastAsia="ru-RU"/>
        </w:rPr>
        <w:t>«</w:t>
      </w:r>
      <w:r>
        <w:rPr>
          <w:rFonts w:ascii="Times New Roman" w:hAnsi="Times New Roman"/>
          <w:color w:val="000000"/>
          <w:sz w:val="28"/>
          <w:szCs w:val="28"/>
          <w:u w:val="single"/>
          <w:lang w:eastAsia="ru-RU"/>
        </w:rPr>
        <w:t xml:space="preserve"> 08</w:t>
      </w:r>
      <w:r>
        <w:rPr>
          <w:rFonts w:ascii="Times New Roman" w:hAnsi="Times New Roman"/>
          <w:color w:val="000000"/>
          <w:sz w:val="28"/>
          <w:szCs w:val="28"/>
          <w:lang w:eastAsia="ru-RU"/>
        </w:rPr>
        <w:t xml:space="preserve"> »</w:t>
      </w:r>
      <w:r>
        <w:rPr>
          <w:rFonts w:ascii="Times New Roman" w:hAnsi="Times New Roman"/>
          <w:color w:val="000000"/>
          <w:sz w:val="28"/>
          <w:szCs w:val="28"/>
          <w:u w:val="single"/>
          <w:lang w:eastAsia="ru-RU"/>
        </w:rPr>
        <w:t xml:space="preserve">   апреля   </w:t>
      </w:r>
      <w:r>
        <w:rPr>
          <w:rFonts w:ascii="Times New Roman" w:hAnsi="Times New Roman"/>
          <w:color w:val="000000"/>
          <w:sz w:val="28"/>
          <w:szCs w:val="28"/>
          <w:lang w:eastAsia="ru-RU"/>
        </w:rPr>
        <w:t>2026 г.</w:t>
      </w:r>
      <w:r>
        <w:br w:type="page"/>
      </w:r>
    </w:p>
    <w:p>
      <w:pPr>
        <w:pStyle w:val="Normal"/>
        <w:tabs>
          <w:tab w:val="clear" w:pos="708"/>
          <w:tab w:val="left" w:pos="8910" w:leader="none"/>
        </w:tabs>
        <w:spacing w:lineRule="auto" w:line="240" w:before="0" w:after="0"/>
        <w:ind w:hanging="0" w:start="0"/>
        <w:jc w:val="both"/>
        <w:rPr/>
      </w:pPr>
      <w:r>
        <w:rPr/>
      </w:r>
    </w:p>
    <w:p>
      <w:pPr>
        <w:pStyle w:val="Normal"/>
        <w:widowControl w:val="false"/>
        <w:jc w:val="center"/>
        <w:rPr>
          <w:rFonts w:ascii="Times New Roman" w:hAnsi="Times New Roman"/>
          <w:b/>
          <w:sz w:val="24"/>
          <w:szCs w:val="24"/>
        </w:rPr>
      </w:pPr>
      <w:r>
        <w:rPr>
          <w:rFonts w:ascii="Times New Roman" w:hAnsi="Times New Roman"/>
          <w:b/>
          <w:sz w:val="24"/>
          <w:szCs w:val="24"/>
        </w:rPr>
        <w:t>СОВМЕСТНЫЙ РАБОЧИЙ ГРАФИК (ПЛАН)</w:t>
      </w:r>
    </w:p>
    <w:p>
      <w:pPr>
        <w:pStyle w:val="Normal"/>
        <w:spacing w:lineRule="auto" w:line="240"/>
        <w:jc w:val="center"/>
        <w:rPr/>
      </w:pPr>
      <w:r>
        <w:rPr>
          <w:rFonts w:ascii="Times New Roman" w:hAnsi="Times New Roman"/>
          <w:b/>
          <w:sz w:val="24"/>
          <w:szCs w:val="24"/>
        </w:rPr>
        <w:t>проведения преддипломной практики</w:t>
      </w:r>
    </w:p>
    <w:p>
      <w:pPr>
        <w:pStyle w:val="Normal"/>
        <w:spacing w:lineRule="auto" w:line="240"/>
        <w:jc w:val="center"/>
        <w:rPr>
          <w:rFonts w:ascii="Times New Roman" w:hAnsi="Times New Roman"/>
          <w:b/>
          <w:i/>
          <w:i/>
          <w:sz w:val="24"/>
          <w:szCs w:val="24"/>
        </w:rPr>
      </w:pPr>
      <w:r>
        <w:rPr>
          <w:rFonts w:ascii="Times New Roman" w:hAnsi="Times New Roman"/>
          <w:b/>
          <w:i/>
          <w:sz w:val="24"/>
          <w:szCs w:val="24"/>
        </w:rPr>
      </w:r>
    </w:p>
    <w:p>
      <w:pPr>
        <w:pStyle w:val="Normal"/>
        <w:spacing w:before="0" w:after="120"/>
        <w:ind w:hanging="0"/>
        <w:rPr/>
      </w:pPr>
      <w:r>
        <w:rPr>
          <w:rFonts w:ascii="Times New Roman" w:hAnsi="Times New Roman"/>
          <w:sz w:val="26"/>
          <w:szCs w:val="26"/>
        </w:rPr>
        <w:t xml:space="preserve">Обучающегося 2 курса  очной формы обучения, группы 41КЭ-М </w:t>
      </w:r>
    </w:p>
    <w:p>
      <w:pPr>
        <w:pStyle w:val="Normal"/>
        <w:spacing w:before="0" w:after="120"/>
        <w:ind w:hanging="0"/>
        <w:rPr>
          <w:rFonts w:ascii="Times New Roman" w:hAnsi="Times New Roman"/>
          <w:sz w:val="26"/>
          <w:szCs w:val="26"/>
        </w:rPr>
      </w:pPr>
      <w:r>
        <w:rPr>
          <w:rFonts w:ascii="Times New Roman" w:hAnsi="Times New Roman"/>
          <w:sz w:val="26"/>
          <w:szCs w:val="26"/>
        </w:rPr>
        <w:t>Направление подготовки 11.04.03 Конструирование и технология электронных средств</w:t>
      </w:r>
    </w:p>
    <w:p>
      <w:pPr>
        <w:pStyle w:val="Normal"/>
        <w:spacing w:before="0" w:after="120"/>
        <w:ind w:hanging="0"/>
        <w:rPr/>
      </w:pPr>
      <w:r>
        <w:rPr>
          <w:rFonts w:ascii="Times New Roman" w:hAnsi="Times New Roman"/>
          <w:sz w:val="26"/>
          <w:szCs w:val="26"/>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bCs/>
          <w:color w:val="000000"/>
          <w:sz w:val="26"/>
          <w:szCs w:val="26"/>
          <w:lang w:eastAsia="ru-RU"/>
        </w:rPr>
      </w:pPr>
      <w:r>
        <w:rPr>
          <w:rFonts w:ascii="Times New Roman" w:hAnsi="Times New Roman"/>
          <w:color w:val="000000"/>
          <w:sz w:val="26"/>
          <w:szCs w:val="26"/>
          <w:lang w:eastAsia="ru-RU"/>
        </w:rPr>
        <w:t xml:space="preserve">Срок прохождения практики с </w:t>
      </w:r>
      <w:r>
        <w:rPr>
          <w:rFonts w:ascii="Times New Roman" w:hAnsi="Times New Roman"/>
          <w:bCs/>
          <w:color w:val="000000"/>
          <w:sz w:val="26"/>
          <w:szCs w:val="26"/>
          <w:lang w:eastAsia="ru-RU"/>
        </w:rPr>
        <w:t>08 апреля  2026 г. по 21 мая 2026 г.</w:t>
      </w:r>
    </w:p>
    <w:p>
      <w:pPr>
        <w:pStyle w:val="Normal"/>
        <w:spacing w:before="0" w:after="120"/>
        <w:ind w:hanging="0"/>
        <w:rPr>
          <w:rFonts w:ascii="Times New Roman" w:hAnsi="Times New Roman"/>
          <w:bCs/>
          <w:color w:val="000000"/>
          <w:sz w:val="26"/>
          <w:szCs w:val="26"/>
          <w:lang w:eastAsia="ru-RU"/>
        </w:rPr>
      </w:pPr>
      <w:r>
        <w:rPr>
          <w:rFonts w:ascii="Times New Roman" w:hAnsi="Times New Roman"/>
          <w:bCs/>
          <w:color w:val="000000"/>
          <w:sz w:val="26"/>
          <w:szCs w:val="26"/>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 xml:space="preserve">№ </w:t>
            </w:r>
            <w:r>
              <w:rPr>
                <w:rFonts w:ascii="Times New Roman" w:hAnsi="Times New Roman"/>
                <w:sz w:val="20"/>
                <w:szCs w:val="24"/>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0"/>
                <w:szCs w:val="24"/>
              </w:rPr>
            </w:pPr>
            <w:r>
              <w:rPr>
                <w:rFonts w:ascii="Times New Roman" w:hAnsi="Times New Roman"/>
                <w:sz w:val="20"/>
                <w:szCs w:val="24"/>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rFonts w:ascii="Times New Roman" w:hAnsi="Times New Roman"/>
                <w:sz w:val="20"/>
                <w:szCs w:val="20"/>
              </w:rPr>
            </w:pPr>
            <w:r>
              <w:rPr>
                <w:rFonts w:ascii="Times New Roman" w:hAnsi="Times New Roman"/>
                <w:sz w:val="20"/>
                <w:szCs w:val="20"/>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Инструктаж по технике безопасности.</w:t>
            </w:r>
          </w:p>
          <w:p>
            <w:pPr>
              <w:pStyle w:val="Normal"/>
              <w:spacing w:lineRule="auto" w:line="240"/>
              <w:ind w:hanging="0"/>
              <w:jc w:val="start"/>
              <w:rPr>
                <w:rFonts w:ascii="Times New Roman" w:hAnsi="Times New Roman"/>
                <w:sz w:val="20"/>
                <w:szCs w:val="20"/>
              </w:rPr>
            </w:pPr>
            <w:r>
              <w:rPr>
                <w:rFonts w:ascii="Times New Roman" w:hAnsi="Times New Roman"/>
                <w:sz w:val="20"/>
                <w:szCs w:val="20"/>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08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1. Сбор информации и материалов практики.</w:t>
            </w:r>
          </w:p>
          <w:p>
            <w:pPr>
              <w:pStyle w:val="Normal"/>
              <w:spacing w:lineRule="auto" w:line="240"/>
              <w:ind w:hanging="0"/>
              <w:jc w:val="start"/>
              <w:rPr/>
            </w:pPr>
            <w:r>
              <w:rPr>
                <w:rFonts w:ascii="Times New Roman" w:hAnsi="Times New Roman"/>
                <w:sz w:val="20"/>
                <w:szCs w:val="20"/>
              </w:rPr>
              <w:t>2. Выполнение программы практики, индивидуального задания на практику.</w:t>
            </w:r>
          </w:p>
          <w:p>
            <w:pPr>
              <w:pStyle w:val="Normal"/>
              <w:spacing w:lineRule="auto" w:line="240"/>
              <w:ind w:hanging="0"/>
              <w:jc w:val="start"/>
              <w:rPr/>
            </w:pPr>
            <w:r>
              <w:rPr>
                <w:rFonts w:ascii="Times New Roman" w:hAnsi="Times New Roman"/>
                <w:sz w:val="20"/>
                <w:szCs w:val="20"/>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rPr>
              <w:t>09 апреля</w:t>
            </w:r>
          </w:p>
          <w:p>
            <w:pPr>
              <w:pStyle w:val="Normal"/>
              <w:spacing w:lineRule="auto" w:line="240"/>
              <w:ind w:hanging="0"/>
              <w:jc w:val="center"/>
              <w:rPr/>
            </w:pPr>
            <w:r>
              <w:rPr>
                <w:rFonts w:ascii="Times New Roman" w:hAnsi="Times New Roman"/>
                <w:sz w:val="20"/>
                <w:szCs w:val="20"/>
              </w:rPr>
              <w:t xml:space="preserve"> </w:t>
            </w:r>
            <w:r>
              <w:rPr>
                <w:rFonts w:ascii="Times New Roman" w:hAnsi="Times New Roman"/>
                <w:sz w:val="20"/>
                <w:szCs w:val="20"/>
              </w:rPr>
              <w:t>2026 г. –</w:t>
            </w:r>
          </w:p>
          <w:p>
            <w:pPr>
              <w:pStyle w:val="Normal"/>
              <w:spacing w:lineRule="auto" w:line="240"/>
              <w:ind w:hanging="0"/>
              <w:jc w:val="center"/>
              <w:rPr/>
            </w:pPr>
            <w:r>
              <w:rPr>
                <w:rFonts w:ascii="Times New Roman" w:hAnsi="Times New Roman"/>
                <w:sz w:val="20"/>
                <w:szCs w:val="20"/>
                <w:lang w:val="en-US"/>
              </w:rPr>
              <w:t>19</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lang w:eastAsia="ru-RU"/>
              </w:rPr>
            </w:pPr>
            <w:r>
              <w:rPr>
                <w:rFonts w:ascii="Times New Roman" w:hAnsi="Times New Roman"/>
                <w:sz w:val="20"/>
                <w:szCs w:val="20"/>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0"/>
                <w:szCs w:val="20"/>
              </w:rPr>
            </w:pPr>
            <w:r>
              <w:rPr>
                <w:rFonts w:ascii="Times New Roman" w:hAnsi="Times New Roman"/>
                <w:sz w:val="20"/>
                <w:szCs w:val="20"/>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pPr>
            <w:r>
              <w:rPr>
                <w:rFonts w:ascii="Times New Roman" w:hAnsi="Times New Roman"/>
                <w:sz w:val="20"/>
                <w:szCs w:val="20"/>
              </w:rPr>
              <w:t xml:space="preserve">1. Составление </w:t>
            </w:r>
            <w:r>
              <w:rPr>
                <w:rFonts w:ascii="Times New Roman" w:hAnsi="Times New Roman"/>
                <w:color w:val="000000"/>
                <w:sz w:val="20"/>
                <w:szCs w:val="20"/>
              </w:rPr>
              <w:t xml:space="preserve">отчета по </w:t>
            </w:r>
            <w:r>
              <w:rPr>
                <w:rFonts w:ascii="Times New Roman" w:hAnsi="Times New Roman"/>
                <w:sz w:val="20"/>
                <w:szCs w:val="20"/>
              </w:rPr>
              <w:t>практике.</w:t>
            </w:r>
          </w:p>
          <w:p>
            <w:pPr>
              <w:pStyle w:val="Normal"/>
              <w:spacing w:lineRule="auto" w:line="240"/>
              <w:ind w:hanging="0"/>
              <w:jc w:val="start"/>
              <w:rPr>
                <w:rFonts w:ascii="Times New Roman" w:hAnsi="Times New Roman"/>
                <w:sz w:val="20"/>
                <w:szCs w:val="20"/>
              </w:rPr>
            </w:pPr>
            <w:r>
              <w:rPr>
                <w:rFonts w:ascii="Times New Roman" w:hAnsi="Times New Roman"/>
                <w:sz w:val="20"/>
                <w:szCs w:val="20"/>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pPr>
            <w:r>
              <w:rPr>
                <w:rFonts w:ascii="Times New Roman" w:hAnsi="Times New Roman"/>
                <w:sz w:val="20"/>
                <w:szCs w:val="20"/>
                <w:lang w:val="en-US"/>
              </w:rPr>
              <w:t>20</w:t>
            </w:r>
            <w:r>
              <w:rPr>
                <w:rFonts w:ascii="Times New Roman" w:hAnsi="Times New Roman"/>
                <w:sz w:val="20"/>
                <w:szCs w:val="20"/>
              </w:rPr>
              <w:t xml:space="preserve"> мая 2026г</w:t>
            </w:r>
          </w:p>
          <w:p>
            <w:pPr>
              <w:pStyle w:val="Normal"/>
              <w:spacing w:lineRule="auto" w:line="240"/>
              <w:ind w:hanging="0"/>
              <w:jc w:val="center"/>
              <w:rPr>
                <w:rFonts w:ascii="Times New Roman" w:hAnsi="Times New Roman"/>
                <w:sz w:val="20"/>
                <w:szCs w:val="20"/>
              </w:rPr>
            </w:pPr>
            <w:r>
              <w:rPr>
                <w:rFonts w:ascii="Times New Roman" w:hAnsi="Times New Roman"/>
                <w:sz w:val="20"/>
                <w:szCs w:val="20"/>
              </w:rPr>
            </w:r>
          </w:p>
          <w:p>
            <w:pPr>
              <w:pStyle w:val="Normal"/>
              <w:spacing w:lineRule="auto" w:line="240"/>
              <w:ind w:hanging="0"/>
              <w:jc w:val="center"/>
              <w:rPr/>
            </w:pPr>
            <w:r>
              <w:rPr>
                <w:rFonts w:ascii="Times New Roman" w:hAnsi="Times New Roman"/>
                <w:sz w:val="20"/>
                <w:szCs w:val="20"/>
              </w:rPr>
              <w:t>2</w:t>
            </w:r>
            <w:r>
              <w:rPr>
                <w:rFonts w:ascii="Times New Roman" w:hAnsi="Times New Roman"/>
                <w:sz w:val="20"/>
                <w:szCs w:val="20"/>
                <w:lang w:val="en-US"/>
              </w:rPr>
              <w:t>1</w:t>
            </w:r>
            <w:r>
              <w:rPr>
                <w:rFonts w:ascii="Times New Roman" w:hAnsi="Times New Roman"/>
                <w:sz w:val="20"/>
                <w:szCs w:val="20"/>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rFonts w:ascii="Times New Roman" w:hAnsi="Times New Roman"/>
                <w:sz w:val="20"/>
                <w:szCs w:val="20"/>
              </w:rPr>
            </w:pPr>
            <w:r>
              <w:rPr>
                <w:rFonts w:ascii="Times New Roman" w:hAnsi="Times New Roman"/>
                <w:sz w:val="20"/>
                <w:szCs w:val="20"/>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rPr>
            </w:pPr>
            <w:r>
              <w:rPr>
                <w:rFonts w:ascii="Times New Roman" w:hAnsi="Times New Roman"/>
                <w:sz w:val="20"/>
                <w:szCs w:val="20"/>
              </w:rPr>
            </w:r>
          </w:p>
        </w:tc>
      </w:tr>
    </w:tbl>
    <w:p>
      <w:pPr>
        <w:pStyle w:val="Normal"/>
        <w:tabs>
          <w:tab w:val="clear" w:pos="708"/>
          <w:tab w:val="left" w:pos="8910" w:leader="none"/>
        </w:tabs>
        <w:spacing w:lineRule="auto" w:line="240"/>
        <w:rPr>
          <w:rFonts w:ascii="Times New Roman" w:hAnsi="Times New Roman"/>
          <w:sz w:val="28"/>
          <w:szCs w:val="28"/>
        </w:rPr>
      </w:pPr>
      <w:r>
        <w:rPr>
          <w:rFonts w:ascii="Times New Roman" w:hAnsi="Times New Roman"/>
          <w:sz w:val="28"/>
          <w:szCs w:val="28"/>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ind w:hanging="0"/>
        <w:rPr/>
      </w:pPr>
      <w:r>
        <w:rPr>
          <w:rFonts w:ascii="Times New Roman" w:hAnsi="Times New Roman"/>
          <w:sz w:val="26"/>
          <w:szCs w:val="26"/>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before="120" w:after="120"/>
        <w:rPr>
          <w:rFonts w:ascii="Times New Roman" w:hAnsi="Times New Roman"/>
          <w:sz w:val="26"/>
          <w:szCs w:val="26"/>
        </w:rPr>
      </w:pPr>
      <w:r>
        <w:rPr>
          <w:rFonts w:ascii="Times New Roman" w:hAnsi="Times New Roman"/>
          <w:sz w:val="26"/>
          <w:szCs w:val="26"/>
        </w:rPr>
        <w:t>С рабочим графиком (планом) ознакомлен:</w:t>
      </w:r>
    </w:p>
    <w:p>
      <w:pPr>
        <w:pStyle w:val="Normal"/>
        <w:tabs>
          <w:tab w:val="clear" w:pos="708"/>
          <w:tab w:val="left" w:pos="8910" w:leader="none"/>
        </w:tabs>
        <w:spacing w:lineRule="auto" w:line="240"/>
        <w:rPr/>
      </w:pPr>
      <w:r>
        <w:rPr>
          <w:rFonts w:ascii="Times New Roman" w:hAnsi="Times New Roman"/>
          <w:sz w:val="26"/>
          <w:szCs w:val="26"/>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1.4 Критерии и метрики сравнения методов</w:t>
              <w:tab/>
              <w:t>12</w:t>
            </w:r>
          </w:hyperlink>
        </w:p>
        <w:p>
          <w:pPr>
            <w:pStyle w:val="TOC2"/>
            <w:tabs>
              <w:tab w:val="clear" w:pos="9072"/>
              <w:tab w:val="right" w:pos="9354" w:leader="dot"/>
            </w:tabs>
            <w:rPr/>
          </w:pPr>
          <w:hyperlink w:anchor="__RefHeading___Toc2163_1929968905">
            <w:r>
              <w:rPr>
                <w:webHidden/>
                <w:rStyle w:val="IndexLink"/>
                <w:vanish w:val="false"/>
              </w:rPr>
              <w:t>1.5 Существующие подходы к измерению параметров сигналов</w:t>
              <w:tab/>
              <w:t>14</w:t>
            </w:r>
          </w:hyperlink>
        </w:p>
        <w:p>
          <w:pPr>
            <w:pStyle w:val="TOC2"/>
            <w:tabs>
              <w:tab w:val="clear" w:pos="9072"/>
              <w:tab w:val="right" w:pos="9354" w:leader="dot"/>
            </w:tabs>
            <w:rPr/>
          </w:pPr>
          <w:hyperlink w:anchor="__RefHeading___Toc2165_1929968905">
            <w:r>
              <w:rPr>
                <w:webHidden/>
                <w:rStyle w:val="IndexLink"/>
                <w:vanish w:val="false"/>
              </w:rPr>
              <w:t>1.6 Патентный поиск и обзор аналогичных решений</w:t>
              <w:tab/>
              <w:t>19</w:t>
            </w:r>
          </w:hyperlink>
        </w:p>
        <w:p>
          <w:pPr>
            <w:pStyle w:val="TOC2"/>
            <w:tabs>
              <w:tab w:val="clear" w:pos="9072"/>
              <w:tab w:val="right" w:pos="9354" w:leader="dot"/>
            </w:tabs>
            <w:rPr/>
          </w:pPr>
          <w:hyperlink w:anchor="__RefHeading___Toc2167_1929968905">
            <w:r>
              <w:rPr>
                <w:webHidden/>
                <w:rStyle w:val="IndexLink"/>
                <w:vanish w:val="false"/>
              </w:rPr>
              <w:t>8. Рекомендованный объем экспериментальной проверки</w:t>
              <w:tab/>
              <w:t>21</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24</w:t>
            </w:r>
          </w:hyperlink>
        </w:p>
        <w:p>
          <w:pPr>
            <w:pStyle w:val="TOC2"/>
            <w:tabs>
              <w:tab w:val="clear" w:pos="9072"/>
              <w:tab w:val="right" w:pos="9354" w:leader="dot"/>
            </w:tabs>
            <w:rPr/>
          </w:pPr>
          <w:hyperlink w:anchor="__RefHeading___Toc2169_1929968905">
            <w:r>
              <w:rPr>
                <w:webHidden/>
                <w:rStyle w:val="IndexLink"/>
                <w:vanish w:val="false"/>
              </w:rPr>
              <w:t>2.1 Аналоговые методы</w:t>
              <w:tab/>
              <w:t>24</w:t>
            </w:r>
          </w:hyperlink>
        </w:p>
        <w:p>
          <w:pPr>
            <w:pStyle w:val="TOC2"/>
            <w:tabs>
              <w:tab w:val="clear" w:pos="9072"/>
              <w:tab w:val="right" w:pos="9354" w:leader="dot"/>
            </w:tabs>
            <w:rPr/>
          </w:pPr>
          <w:hyperlink w:anchor="__RefHeading___Toc2171_1929968905">
            <w:r>
              <w:rPr>
                <w:webHidden/>
                <w:rStyle w:val="IndexLink"/>
                <w:vanish w:val="false"/>
              </w:rPr>
              <w:t>2.2 Цифровые методы</w:t>
              <w:tab/>
              <w:t>26</w:t>
            </w:r>
          </w:hyperlink>
        </w:p>
        <w:p>
          <w:pPr>
            <w:pStyle w:val="TOC2"/>
            <w:tabs>
              <w:tab w:val="clear" w:pos="9072"/>
              <w:tab w:val="right" w:pos="9354" w:leader="dot"/>
            </w:tabs>
            <w:rPr/>
          </w:pPr>
          <w:hyperlink w:anchor="__RefHeading___Toc2173_1929968905">
            <w:r>
              <w:rPr>
                <w:webHidden/>
                <w:rStyle w:val="IndexLink"/>
                <w:vanish w:val="false"/>
              </w:rPr>
              <w:t>2.3 Сравнительный анализ и патентный поиск</w:t>
              <w:tab/>
              <w:t>29</w:t>
            </w:r>
          </w:hyperlink>
        </w:p>
        <w:p>
          <w:pPr>
            <w:pStyle w:val="TOC2"/>
            <w:tabs>
              <w:tab w:val="clear" w:pos="9072"/>
              <w:tab w:val="right" w:pos="9354" w:leader="dot"/>
            </w:tabs>
            <w:rPr/>
          </w:pPr>
          <w:hyperlink w:anchor="__RefHeading___Toc2175_1929968905">
            <w:r>
              <w:rPr>
                <w:webHidden/>
                <w:rStyle w:val="IndexLink"/>
                <w:vanish w:val="false"/>
              </w:rPr>
              <w:t>2.4 Варианты реализации и сравнение</w:t>
              <w:tab/>
              <w:t>31</w:t>
            </w:r>
          </w:hyperlink>
        </w:p>
        <w:p>
          <w:pPr>
            <w:pStyle w:val="TOC2"/>
            <w:tabs>
              <w:tab w:val="clear" w:pos="9072"/>
              <w:tab w:val="right" w:pos="9354" w:leader="dot"/>
            </w:tabs>
            <w:rPr/>
          </w:pPr>
          <w:hyperlink w:anchor="__RefHeading___Toc2177_1929968905">
            <w:r>
              <w:rPr>
                <w:webHidden/>
                <w:rStyle w:val="IndexLink"/>
                <w:vanish w:val="false"/>
              </w:rPr>
              <w:t>2.5 Реализация подхода на STM32F407</w:t>
              <w:tab/>
              <w:t>33</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34</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36</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37</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38</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40</w:t>
            </w:r>
          </w:hyperlink>
        </w:p>
        <w:p>
          <w:pPr>
            <w:pStyle w:val="TOC1"/>
            <w:tabs>
              <w:tab w:val="clear" w:pos="9345"/>
              <w:tab w:val="right" w:pos="9354" w:leader="dot"/>
            </w:tabs>
            <w:rPr/>
          </w:pPr>
          <w:hyperlink w:anchor="__RefHeading___Toc229529026">
            <w:r>
              <w:rPr>
                <w:webHidden/>
                <w:rStyle w:val="IndexLink"/>
                <w:vanish w:val="false"/>
              </w:rPr>
              <w:t>ПРИЛОЖЕНИЯ</w:t>
              <w:tab/>
              <w:t>43</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pPr>
      <w:bookmarkStart w:id="1" w:name="__RefHeading___Toc229529022"/>
      <w:bookmarkEnd w:id="1"/>
      <w: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Heading2"/>
        <w:rPr>
          <w:highlight w:val="none"/>
          <w:shd w:fill="00A933" w:val="clear"/>
        </w:rPr>
      </w:pPr>
      <w:bookmarkStart w:id="2" w:name="__RefHeading___Toc2155_1929968905"/>
      <w:bookmarkEnd w:id="2"/>
      <w:r>
        <w:rPr>
          <w:shd w:fill="00A933" w:val="clear"/>
        </w:rPr>
        <w:t>1.1 Периодические сигналы: определение и значение</w:t>
      </w:r>
    </w:p>
    <w:p>
      <w:pPr>
        <w:pStyle w:val="BodyText"/>
        <w:rPr/>
      </w:pPr>
      <w:r>
        <w:rPr/>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3" w:name="__RefHeading___Toc2157_1929968905"/>
      <w:bookmarkEnd w:id="3"/>
      <w:r>
        <w:rPr/>
        <w:t xml:space="preserve">1.2 </w:t>
      </w:r>
      <w:r>
        <w:rPr>
          <w:shd w:fill="00A933" w:val="clear"/>
        </w:rPr>
        <w:t>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00A933" w:val="clear"/>
        </w:rPr>
      </w:pPr>
      <w:bookmarkStart w:id="4" w:name="__RefHeading___Toc2159_1929968905"/>
      <w:bookmarkEnd w:id="4"/>
      <w:r>
        <w:rPr>
          <w:shd w:fill="00A933" w:val="clear"/>
        </w:rPr>
        <w:t>1.3 Виды помех и их влияние на измерения</w:t>
      </w:r>
    </w:p>
    <w:p>
      <w:pPr>
        <w:pStyle w:val="BodyText"/>
        <w:rPr/>
      </w:pPr>
      <w:r>
        <w:rPr/>
        <w:t>Периодические сигналы в реальной обстановке искажаются множеством помех и шумов. Основные виды:</w:t>
      </w:r>
    </w:p>
    <w:p>
      <w:pPr>
        <w:pStyle w:val="BodyText"/>
        <w:rPr/>
      </w:pPr>
      <w:r>
        <w:rPr/>
        <w:t>Основной тип шума это т</w:t>
      </w:r>
      <w:r>
        <w:rPr>
          <w:b w:val="false"/>
          <w:bCs w:val="false"/>
        </w:rPr>
        <w:t>епловой шум (джонсоновский).</w:t>
      </w:r>
      <w:r>
        <w:rPr/>
        <w:t xml:space="preserve"> Широкополосный шум, генерируемый тепловым движением электронов в резисторах и полупроводниках. Этот тип шума присутствует всегда, вне зависимости от того, включен прибор или нет. Его спектральная плотность постоянна (белый шум). Он повышает фоновый уровень сигнала, снижая отношение сигнал/шум (SNR). Влияние: для измерения амплитуды шум вносит случайную погрешность, пропорциональную RMS-значению шума; для частоты – генерирует разброс синхронизации (тактовых импульсов), что уменьшает точность определения периода. При низком SNR резкость гистограммной оценки амплитуды падает, а дисперсия измеренных периодов растет. При SNR около 0 дБ погрешность частоты может достигать нескольких процентов (зависит от алгоритма измерения).</w:t>
      </w:r>
    </w:p>
    <w:p>
      <w:pPr>
        <w:pStyle w:val="BodyText"/>
        <w:rPr/>
      </w:pPr>
      <w:r>
        <w:rPr/>
        <w:t xml:space="preserve">Другой тип шума: </w:t>
      </w:r>
      <w:r>
        <w:rPr>
          <w:b w:val="false"/>
          <w:bCs w:val="false"/>
        </w:rPr>
        <w:t>фазовый шум. Он выглядит как к</w:t>
      </w:r>
      <w:r>
        <w:rPr/>
        <w:t>ратковременные флуктуации фазы или времени периодического сигнала. Вызываются нестабильностью генератора, шумом в усилителях, квантованием АЦП и д</w:t>
      </w:r>
      <w:r>
        <w:rPr>
          <w:color w:val="auto"/>
          <w:u w:val="none"/>
        </w:rPr>
        <w:t xml:space="preserve">р. </w:t>
      </w:r>
      <w:r>
        <w:rPr>
          <w:rStyle w:val="Hyperlink"/>
          <w:color w:val="auto"/>
          <w:u w:val="none"/>
        </w:rPr>
        <w:t>[13]</w:t>
      </w:r>
      <w:r>
        <w:rPr>
          <w:color w:val="auto"/>
          <w:u w:val="none"/>
        </w:rPr>
        <w:t>. Фазовый шум приводит к расширению спектральной линии сигнала и нелин</w:t>
      </w:r>
      <w:r>
        <w:rPr/>
        <w:t>ейному изменению частоты во времени; джиттер (колебания фронтов) создает дисперсию замера периода. Фазовый шум часто измеряют в дБ/Hz и учитывают при проектировании ФАПЧ; большой джиттер ограничивает разрешающую способность частотомеров. Например, даже при хорошей среде измерения малейшие флуктуации «времени прихода» фронта (десятки пс) дают миллисекундный разброс при частоте в кГц.</w:t>
      </w:r>
    </w:p>
    <w:p>
      <w:pPr>
        <w:pStyle w:val="BodyText"/>
        <w:rPr>
          <w:b w:val="false"/>
          <w:bCs w:val="false"/>
        </w:rPr>
      </w:pPr>
      <w:r>
        <w:rPr/>
        <w:t>Кратковременные высокоамплитудные выбросы (например, от коммутационных переходов, грозовых раз</w:t>
      </w:r>
      <w:r>
        <w:rPr>
          <w:color w:val="auto"/>
          <w:u w:val="none"/>
        </w:rPr>
        <w:t xml:space="preserve">рядов) — это еще один вид помех. Такие помехи называются импульсные. </w:t>
      </w:r>
      <w:r>
        <w:rPr>
          <w:rStyle w:val="Hyperlink"/>
          <w:color w:val="auto"/>
          <w:u w:val="none"/>
        </w:rPr>
        <w:t>[14]</w:t>
      </w:r>
      <w:r>
        <w:rPr>
          <w:color w:val="auto"/>
          <w:u w:val="none"/>
        </w:rPr>
        <w:t>. О</w:t>
      </w:r>
      <w:r>
        <w:rPr/>
        <w:t>ни составляют узкополосную или широкополосную помеху с большим пиковым значением. При приеме такие выбросы порой полностью «забивают» сигнал на время импульса. Методы борьбы (фильтрация, амплитудное ограничение) смещают уровень усиления, но меряют их нелинейность. Для нашего измерителя импульсная помеха может давать ложный пик в гистограмме амплитуд или сбивать определение начала/конца периода. Устройство должно фильтровать такие помехи.</w:t>
      </w:r>
    </w:p>
    <w:p>
      <w:pPr>
        <w:pStyle w:val="BodyText"/>
        <w:rPr>
          <w:b w:val="false"/>
          <w:bCs w:val="false"/>
        </w:rPr>
      </w:pPr>
      <w:r>
        <w:rPr>
          <w:b w:val="false"/>
          <w:bCs w:val="false"/>
        </w:rPr>
        <w:t>Электромагнитные помехи - узко</w:t>
      </w:r>
      <w:r>
        <w:rPr/>
        <w:t>полосные сигналы от другого оборудования (помехи бытовой сети, радиопередатчики и т.п.) накладываются на исходный сигнал. Они создают периодические или близкие к периодическим добавочные колебания. В спектре ЭМИ проявляются как дополнительные линии или спайки. На измерения: узкополосные помехи искажают форму гистограммы (появляются побочные пики), добавляют шум в амплитудный анализ. Например, помеха 50 Гц часто влияет на измерения низкочастотных сигналов, а радиочастотная помеха – на ВЧ.</w:t>
      </w:r>
    </w:p>
    <w:p>
      <w:pPr>
        <w:pStyle w:val="BodyText"/>
        <w:rPr/>
      </w:pPr>
      <w:r>
        <w:rPr>
          <w:b w:val="false"/>
          <w:bCs w:val="false"/>
        </w:rPr>
        <w:t>Другие шумы (слипания, дробовой шум, 1/f-шум и т.д.) реже</w:t>
      </w:r>
      <w:r>
        <w:rPr/>
        <w:t xml:space="preserve"> влияют напрямую, но могут рассыпать оценку амплитуды на больших частотах и малых сигналах. Их эффекты проявляются при малых амплитудах (дробовой шум при малом токе) или в области низких частот (фликкер шум).</w:t>
      </w:r>
    </w:p>
    <w:p>
      <w:pPr>
        <w:pStyle w:val="BodyText"/>
        <w:rPr/>
      </w:pPr>
      <w:r>
        <w:rPr/>
        <w:t>Как итог, влияние помех приводит к снижению точности измерения амплитуды и частоты. Обычно оценку качества делают через отношение SNR и статистические погрешности. Важен выбор метода измерения с хорошей помехоустойчивостью или последующей цифровой фильтрацией.</w:t>
      </w:r>
    </w:p>
    <w:p>
      <w:pPr>
        <w:pStyle w:val="BodyText"/>
        <w:rPr/>
      </w:pPr>
      <w:r>
        <w:rPr/>
      </w:r>
    </w:p>
    <w:p>
      <w:pPr>
        <w:pStyle w:val="Heading2"/>
        <w:rPr>
          <w:highlight w:val="none"/>
          <w:shd w:fill="00A933" w:val="clear"/>
        </w:rPr>
      </w:pPr>
      <w:bookmarkStart w:id="5" w:name="__RefHeading___Toc2161_1929968905"/>
      <w:bookmarkEnd w:id="5"/>
      <w:r>
        <w:rPr>
          <w:shd w:fill="00A933"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её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pPr>
      <w:bookmarkStart w:id="6" w:name="__RefHeading___Toc2163_1929968905"/>
      <w:bookmarkEnd w:id="6"/>
      <w:r>
        <w:rPr/>
        <w:t>1</w:t>
      </w:r>
      <w:r>
        <w:rPr>
          <w:shd w:fill="800080" w:val="clear"/>
        </w:rPr>
        <w:t>.5 Существующие подходы к</w:t>
      </w:r>
      <w:r>
        <w:rPr/>
        <w:t xml:space="preserve"> измерению параметров сигналов</w:t>
      </w:r>
    </w:p>
    <w:p>
      <w:pPr>
        <w:pStyle w:val="BodyText"/>
        <w:rPr>
          <w:lang w:val="en-US"/>
        </w:rPr>
      </w:pPr>
      <w:r>
        <w:rPr/>
        <w:t>Самый простой метод измерения параметров – аналоговый. Метод подразумевает специализированную аналоговую схему, которая будет решать одну единственную задачу без возможности изменения алгоритма решения задачи без изменения электрической схемы. Рассмотрим основные подх</w:t>
      </w:r>
      <w:r>
        <w:rPr>
          <w:b w:val="false"/>
          <w:bCs w:val="false"/>
        </w:rPr>
        <w:t>оды</w:t>
      </w:r>
      <w:r>
        <w:rPr>
          <w:b w:val="false"/>
          <w:bCs w:val="false"/>
          <w:lang w:val="en-US"/>
        </w:rPr>
        <w:t>:</w:t>
      </w:r>
    </w:p>
    <w:p>
      <w:pPr>
        <w:pStyle w:val="BodyText"/>
        <w:rPr/>
      </w:pPr>
      <w:r>
        <w:rPr>
          <w:b w:val="false"/>
          <w:bCs w:val="false"/>
        </w:rPr>
        <w:t xml:space="preserve">Компараторы и пороговые детекторы преобразуют входной сигнал в цифровую последовательность импульсов (сигнализации фронтов). Просты по реализации (цена </w:t>
      </w:r>
      <w:r>
        <w:rPr/>
        <w:t>– дешевые ОУ или компараторы), но чувствительны к уровню смещения и шуму (каждый фронт может «дребезжать» из-за шипов). Требуют дополнительной</w:t>
      </w:r>
      <w:r>
        <w:rPr>
          <w:b w:val="false"/>
          <w:bCs w:val="false"/>
          <w:color w:val="auto"/>
          <w:u w:val="none"/>
        </w:rPr>
        <w:t xml:space="preserve"> схемы стабилизации порога. Плюс: просты, работают в реальном времени, не требуют АЦП и ЦП. Минус: низкая гибкость: алгоритм детектирования фиксирован (обычно срабатывание по одному порогу или Шор-схема), трудно обрабатывать форму. Подход хорош для цифровых частотомеров и простых измерителей амплитуды, но с низкой точностью при шуме </w:t>
      </w:r>
      <w:r>
        <w:rPr>
          <w:rStyle w:val="Hyperlink"/>
          <w:b w:val="false"/>
          <w:bCs w:val="false"/>
          <w:color w:val="auto"/>
          <w:u w:val="none"/>
        </w:rPr>
        <w:t>[15]</w:t>
      </w:r>
      <w:r>
        <w:rPr>
          <w:b w:val="false"/>
          <w:bCs w:val="false"/>
          <w:color w:val="auto"/>
          <w:u w:val="none"/>
        </w:rPr>
        <w:t>.</w:t>
      </w:r>
    </w:p>
    <w:p>
      <w:pPr>
        <w:pStyle w:val="BodyText"/>
        <w:rPr/>
      </w:pPr>
      <w:r>
        <w:rPr>
          <w:b w:val="false"/>
          <w:bCs w:val="false"/>
          <w:color w:val="auto"/>
          <w:u w:val="none"/>
        </w:rPr>
        <w:t>Частотомеры (прямой счет): Известный метод – считать число периодов исследуемого сигнала за фиксированный промежуток времени (метод прямого счета). Схема т</w:t>
      </w:r>
      <w:r>
        <w:rPr/>
        <w:t>ипового цифрового частотомера (см. методичку) содержит входное согласующее устройство, формирователь импульсов и счетч</w:t>
      </w:r>
      <w:r>
        <w:rPr>
          <w:color w:val="auto"/>
          <w:u w:val="none"/>
        </w:rPr>
        <w:t xml:space="preserve">ик </w:t>
      </w:r>
      <w:r>
        <w:rPr>
          <w:rStyle w:val="Hyperlink"/>
          <w:color w:val="auto"/>
          <w:u w:val="none"/>
        </w:rPr>
        <w:t>[15]</w:t>
      </w:r>
      <w:r>
        <w:rPr>
          <w:color w:val="auto"/>
          <w:u w:val="none"/>
        </w:rPr>
        <w:t>.</w:t>
      </w:r>
      <w:r>
        <w:rPr/>
        <w:t xml:space="preserve"> Принцип прост: за время $T_{сч}$ подсчитывают $N$ полных периодов сигнала, после чего $f=N/T_{сч}$</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Плюс:</w:t>
      </w:r>
      <w:r>
        <w:rPr/>
        <w:t xml:space="preserve"> высокая точность при больших счетных интервалах, простота измерения синусоид. </w:t>
      </w:r>
      <w:r>
        <w:rPr>
          <w:b/>
          <w:bCs/>
        </w:rPr>
        <w:t>Минус:</w:t>
      </w:r>
      <w:r>
        <w:rPr/>
        <w:t xml:space="preserve"> нечувствителен к изменению формы (измеряет лишь частоту), низкая гибкость, чувствительность к помехам (один лишний/пропущенный импульс дает ошибку). Погрешность связана с ограничением разрядности счетчика (интервал времени) и нестабильностью базового генератора. Для очень высоких частот требуется дорогая электроника.</w:t>
      </w:r>
    </w:p>
    <w:p>
      <w:pPr>
        <w:pStyle w:val="BodyText"/>
        <w:rPr/>
      </w:pPr>
      <w:r>
        <w:rPr>
          <w:b/>
          <w:bCs/>
        </w:rPr>
        <w:t>Фазовая автоподстройка частоты (ФАПЧ):</w:t>
      </w:r>
      <w:r>
        <w:rPr/>
        <w:t xml:space="preserve"> Система PLL автоматически синхронизирует генератор-эталон с входным сигналом по фазе. По управляющему напряжению или счетчику импульсов ФАПЧ можно определить частоту входного сигнала. </w:t>
      </w:r>
      <w:r>
        <w:rPr>
          <w:b/>
          <w:bCs/>
        </w:rPr>
        <w:t>Плюс:</w:t>
      </w:r>
      <w:r>
        <w:rPr/>
        <w:t xml:space="preserve"> гладкий выход и автоматическая фильтрация высокочастотного шума. </w:t>
      </w:r>
      <w:r>
        <w:rPr>
          <w:b/>
          <w:bCs/>
        </w:rPr>
        <w:t>Минус:</w:t>
      </w:r>
      <w:r>
        <w:rPr/>
        <w:t xml:space="preserve"> относительно медленная реакция (настройка), сложность схемы (ФД, ФАПЧ-цепь, VCO), сложно измерить амплитуду или форму (обычно выход – только частота). Применим в радиотехнике для демодуляции, но для прямого измерения параметров сигнала в шуме дает лишь оценку частоты.</w:t>
      </w:r>
    </w:p>
    <w:p>
      <w:pPr>
        <w:pStyle w:val="BodyText"/>
        <w:rPr>
          <w:rFonts w:eastAsia="Times New Roman"/>
          <w:b/>
          <w:bCs/>
          <w:szCs w:val="26"/>
        </w:rPr>
      </w:pPr>
      <w:r>
        <w:rPr/>
        <w:t xml:space="preserve">Вместе с аналоговыми методами обработки сигнала, существуют так же </w:t>
      </w:r>
      <w:r>
        <w:rPr>
          <w:b/>
          <w:bCs/>
        </w:rPr>
        <w:t>цифровые методы</w:t>
      </w:r>
      <w:r>
        <w:rPr/>
        <w:t>. В основе таких методов лежит быстродействующий АЦП и цифровая схема обработки сигнала. Рассмотрим наиболее распространенные методы:</w:t>
      </w:r>
    </w:p>
    <w:p>
      <w:pPr>
        <w:pStyle w:val="BodyText"/>
        <w:rPr/>
      </w:pPr>
      <w:r>
        <w:rPr>
          <w:b/>
          <w:bCs/>
        </w:rPr>
        <w:t>ADC + микроконтроллер:</w:t>
      </w:r>
      <w:r>
        <w:rPr/>
        <w:t xml:space="preserve"> Измеряемый сигнал оцифровывается на высокоскоростном АЦП и обрабатывается цифровыми алгоритмами. Возможные методы оценки:</w:t>
      </w:r>
    </w:p>
    <w:p>
      <w:pPr>
        <w:pStyle w:val="BodyText"/>
        <w:rPr/>
      </w:pPr>
      <w:r>
        <w:rPr>
          <w:i/>
          <w:iCs/>
        </w:rPr>
        <w:t>FFT (БПФ):</w:t>
      </w:r>
      <w:r>
        <w:rPr/>
        <w:t xml:space="preserve"> вычисление спектра для определения частоты/гармоник</w:t>
      </w:r>
      <w:r>
        <w:fldChar w:fldCharType="begin"/>
      </w:r>
      <w:r>
        <w:rPr>
          <w:rStyle w:val="Hyperlink"/>
        </w:rPr>
        <w:instrText xml:space="preserve"> HYPERLINK "https://studfile.net/preview/7013044/page:2/" \l ":~:text=%D0%9B%D1%8E%D0%B1%D0%BE%D0%B9%20%D1%81%D0%BB%D0%BE%D0%B6%D0%BD%D1%8B%D0%B9%20%D0%BF%D0%B5%D1%80%D0%B8%D0%BE%D0%B4%D0%B8%D1%87%D0%B5%D1%81%D0%BA%D0%B8%D0%B9%20%D1%81%D0%B8%D0%B3%D0%BD%D0%B0%D0%BB%2C%20%D0%BA%D0%B0%D0%BA,%D0%B0%D0%BC%D0%BF%D0%BB%D0%B8%D1%82%D1%83%D0%B4%D0%B0%D1%85%20%D0%B8%20%D1%84%D0%B0%D0%B7%D0%B0%D1%85%20%D0%BE%D1%82%D0%B4%D0%B5%D0%BB%D1%8C%C2%AD%D0%BD%D1%8B%D1%85%20%D0%B3%D0%B0%D1%80%D0%BC%D0%BE%D0%BD%D0%B8%D0%BA"</w:instrText>
      </w:r>
      <w:r>
        <w:rPr>
          <w:rStyle w:val="Hyperlink"/>
        </w:rPr>
        <w:fldChar w:fldCharType="separate"/>
      </w:r>
      <w:r>
        <w:rPr>
          <w:rStyle w:val="Hyperlink"/>
        </w:rPr>
        <w:t>[9]</w:t>
      </w:r>
      <w:r>
        <w:rPr>
          <w:rStyle w:val="Hyperlink"/>
        </w:rPr>
        <w:fldChar w:fldCharType="end"/>
      </w:r>
      <w:r>
        <w:fldChar w:fldCharType="begin"/>
      </w:r>
      <w:r>
        <w:rPr>
          <w:rStyle w:val="Hyperlink"/>
        </w:rPr>
        <w:instrText xml:space="preserve"> HYPERLINK "https://siblec.ru/telekommunikatsii/vvedenie-v-spetsialnost/3-signaly-vidy-signalov-i-ikh-parametry" \l ":~:text=%D0%A2%D0%BE%D1%82%20%D1%84%D0%B0%D0%BA%D1%82%2C%20%D1%87%D1%82%D0%BE%20%D1%81%D0%B8%D0%B3%D0%BD%D0%B0%D0%BB%20%D0%BF%D1%80%D0%BE%D0%B8%D0%B7%D0%B2%D0%BE%D0%BB%D1%8C%D0%BD%D0%BE%D0%B9,%D1%81%D1%82%D1%80%D0%BE%D0%B3%D0%BE%20%D0%BE%D0%BF%D1%80%D0%B5%D0%B4%D0%B5%D0%BB%D0%B5%D0%BD%D0%BD%D1%8B%D0%BC%D0%B8%20%D1%87%D0%B0%D1%81%D1%82%D0%BE%D1%82%D0%B0%D0%BC%D0%B8%20%D0%B8%20%D0%B0%D0%BC%D0%BF%D0%BB%D0%B8%D1%82%D1%83%D0%B4%D0%B0%D0%BC%D0%B8"</w:instrText>
      </w:r>
      <w:r>
        <w:rPr>
          <w:rStyle w:val="Hyperlink"/>
        </w:rPr>
        <w:fldChar w:fldCharType="separate"/>
      </w:r>
      <w:r>
        <w:rPr>
          <w:rStyle w:val="Hyperlink"/>
        </w:rPr>
        <w:t>[8]</w:t>
      </w:r>
      <w:r>
        <w:rPr>
          <w:rStyle w:val="Hyperlink"/>
        </w:rPr>
        <w:fldChar w:fldCharType="end"/>
      </w:r>
      <w:r>
        <w:rPr/>
        <w:t xml:space="preserve">. Нужен достаточный набор отсчетов (N) и вычислительная мощность. </w:t>
      </w:r>
      <w:r>
        <w:rPr>
          <w:b/>
          <w:bCs/>
        </w:rPr>
        <w:t>+</w:t>
      </w:r>
      <w:r>
        <w:rPr/>
        <w:t xml:space="preserve"> Обнаруживает несколько гармоник, оценивает спектр. </w:t>
      </w:r>
      <w:r>
        <w:rPr>
          <w:b/>
          <w:bCs/>
        </w:rPr>
        <w:t>–</w:t>
      </w:r>
      <w:r>
        <w:rPr/>
        <w:t xml:space="preserve"> Ограничения по скорости (нужно выполнять БПФ), чувствителен к оконечным эффектам и утечкам, требует хорошей синхронизации опорного такта.</w:t>
      </w:r>
    </w:p>
    <w:p>
      <w:pPr>
        <w:pStyle w:val="BodyText"/>
        <w:rPr/>
      </w:pPr>
      <w:r>
        <w:rPr>
          <w:i/>
          <w:iCs/>
        </w:rPr>
        <w:t>Метод нулевых пересечений:</w:t>
      </w:r>
      <w:r>
        <w:rPr/>
        <w:t xml:space="preserve"> в цифровой форме: отмечаем индексы перепадов знака (или срабатываний порога) в оцифрованном сигнале и вычисляем средний период. </w:t>
      </w:r>
      <w:r>
        <w:rPr>
          <w:b/>
          <w:bCs/>
        </w:rPr>
        <w:t>+</w:t>
      </w:r>
      <w:r>
        <w:rPr/>
        <w:t xml:space="preserve"> Простота: не требует FFT, подходит для одномногармонических сигналов. </w:t>
      </w:r>
      <w:r>
        <w:rPr>
          <w:b/>
          <w:bCs/>
        </w:rPr>
        <w:t>–</w:t>
      </w:r>
      <w:r>
        <w:rPr/>
        <w:t xml:space="preserve"> Чувствителен к шуму на фронтах (кроме если используют предварительную фильтрацию). Частотная точность ограничена шумом.</w:t>
      </w:r>
    </w:p>
    <w:p>
      <w:pPr>
        <w:pStyle w:val="BodyText"/>
        <w:rPr/>
      </w:pPr>
      <w:r>
        <w:rPr>
          <w:i/>
          <w:iCs/>
        </w:rPr>
        <w:t>Кросс-корреляция:</w:t>
      </w:r>
      <w:r>
        <w:rPr/>
        <w:t xml:space="preserve"> вычисляем корреляцию сигнала с самим собой со сдвигом (автокорреляция) или с известными шаблонами. Пик корреляции указывает период/фазу. </w:t>
      </w:r>
      <w:r>
        <w:rPr>
          <w:b/>
          <w:bCs/>
        </w:rPr>
        <w:t>+</w:t>
      </w:r>
      <w:r>
        <w:rPr/>
        <w:t xml:space="preserve"> Обнаруживает период даже при зашумленном сигнале, устойчивее при низком SNR. </w:t>
      </w:r>
      <w:r>
        <w:rPr>
          <w:b/>
          <w:bCs/>
        </w:rPr>
        <w:t>–</w:t>
      </w:r>
      <w:r>
        <w:rPr/>
        <w:t xml:space="preserve"> Требует много вычислений и памяти.</w:t>
      </w:r>
    </w:p>
    <w:p>
      <w:pPr>
        <w:pStyle w:val="BodyText"/>
        <w:rPr/>
      </w:pPr>
      <w:r>
        <w:rPr>
          <w:i/>
          <w:iCs/>
        </w:rPr>
        <w:t>Гистограммный анализ:</w:t>
      </w:r>
      <w:r>
        <w:rPr/>
        <w:t xml:space="preserve"> накапливаем гистограмму отсчетов амплитуд за длительный период. Пиковые бины гистограммы соответствуют характерным уровням сигнала (например, нижняя и верхняя границы прямоугольника, центральная линия нуля). Частоту сигнала можно оценить по средней длине периода (например, подсчет среднего числа отсчетов между совпадающими гистограммными пиками)</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w:t>
      </w:r>
      <w:r>
        <w:rPr>
          <w:b/>
          <w:bCs/>
        </w:rPr>
        <w:t>+</w:t>
      </w:r>
      <w:r>
        <w:rPr/>
        <w:t xml:space="preserve"> Очень устойчива к шуму в границах: шум «размазывает» гистограмму, но пики остаются. </w:t>
      </w:r>
      <w:r>
        <w:rPr>
          <w:b/>
          <w:bCs/>
        </w:rPr>
        <w:t>–</w:t>
      </w:r>
      <w:r>
        <w:rPr/>
        <w:t xml:space="preserve"> Требует большого числа отсчетов (глубина анализа), может медленно реагировать на изменение сигнала.</w:t>
      </w:r>
    </w:p>
    <w:p>
      <w:pPr>
        <w:pStyle w:val="BodyText"/>
        <w:rPr/>
      </w:pPr>
      <w:r>
        <w:rPr>
          <w:b/>
          <w:bCs/>
        </w:rPr>
        <w:t>DSP/FPGA:</w:t>
      </w:r>
      <w:r>
        <w:rPr/>
        <w:t xml:space="preserve"> Аппаратные DSP-модули или FPGA-реализации позволяют проводить на лету обработку высокоскоростных потоков (БПФ, декомпозиция, корреляция и др.). Высокая цена разработки, но очень высокая производительность и гибкость алгоритма (микширование сигналов, цифровые фильтры). В лабораториях и промышленности используются ПЛИС для анализа сигналов в реальном времени (радиотехника, SDR-системы).</w:t>
      </w:r>
    </w:p>
    <w:p>
      <w:pPr>
        <w:pStyle w:val="BodyText"/>
        <w:rPr/>
      </w:pPr>
      <w:r>
        <w:rPr>
          <w:b/>
          <w:bCs/>
        </w:rPr>
        <w:t>Специализированные цифровые анализаторы:</w:t>
      </w:r>
      <w:r>
        <w:rPr/>
        <w:t xml:space="preserve"> Например, анализаторы фазового шума и джиттера (генераторы тестовых паттернов и гистограммеры фронтов) применяют многоканальные АЦП и ковариационный анализ для глубокой оценки стабильности сигналов. В нашем случае более простые решения на АЦП+MCU покрывают основную часть требований.</w:t>
      </w:r>
    </w:p>
    <w:p>
      <w:pPr>
        <w:pStyle w:val="BodyText"/>
        <w:rPr/>
      </w:pPr>
      <w:r>
        <w:rPr>
          <w:b/>
          <w:bCs/>
        </w:rPr>
        <w:t>Сравнительный анализ методов:</w:t>
      </w:r>
      <w:r>
        <w:rPr/>
        <w:t xml:space="preserve"> Основные критерии сравнения – сложность разработки, стоимость, возможности обработки и адаптации алгоритмов, помехоустойчивость и точность измерений. Приведем схематичный сравнительный анализ в таблице:</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1982"/>
        <w:gridCol w:w="1755"/>
        <w:gridCol w:w="2367"/>
        <w:gridCol w:w="1386"/>
        <w:gridCol w:w="2081"/>
      </w:tblGrid>
      <w:tr>
        <w:trPr>
          <w:tblHeader w:val="true"/>
        </w:trPr>
        <w:tc>
          <w:tcPr>
            <w:tcW w:w="1982" w:type="dxa"/>
            <w:tcBorders>
              <w:bottom w:val="single" w:sz="6" w:space="0" w:color="000000"/>
            </w:tcBorders>
            <w:shd w:color="auto" w:fill="auto" w:val="clear"/>
            <w:vAlign w:val="bottom"/>
          </w:tcPr>
          <w:p>
            <w:pPr>
              <w:pStyle w:val="Compact"/>
              <w:spacing w:before="36" w:after="36"/>
              <w:rPr/>
            </w:pPr>
            <w:r>
              <w:rPr/>
              <w:t>Метод</w:t>
            </w:r>
          </w:p>
        </w:tc>
        <w:tc>
          <w:tcPr>
            <w:tcW w:w="1755" w:type="dxa"/>
            <w:tcBorders>
              <w:bottom w:val="single" w:sz="6" w:space="0" w:color="000000"/>
            </w:tcBorders>
            <w:shd w:color="auto" w:fill="auto" w:val="clear"/>
            <w:vAlign w:val="bottom"/>
          </w:tcPr>
          <w:p>
            <w:pPr>
              <w:pStyle w:val="Compact"/>
              <w:spacing w:before="36" w:after="36"/>
              <w:rPr/>
            </w:pPr>
            <w:r>
              <w:rPr/>
              <w:t>Принцип</w:t>
            </w:r>
          </w:p>
        </w:tc>
        <w:tc>
          <w:tcPr>
            <w:tcW w:w="2367" w:type="dxa"/>
            <w:tcBorders>
              <w:bottom w:val="single" w:sz="6" w:space="0" w:color="000000"/>
            </w:tcBorders>
            <w:shd w:color="auto" w:fill="auto" w:val="clear"/>
            <w:vAlign w:val="bottom"/>
          </w:tcPr>
          <w:p>
            <w:pPr>
              <w:pStyle w:val="Compact"/>
              <w:spacing w:before="36" w:after="36"/>
              <w:rPr/>
            </w:pPr>
            <w:r>
              <w:rPr/>
              <w:t>Сложность / стоимость</w:t>
            </w:r>
          </w:p>
        </w:tc>
        <w:tc>
          <w:tcPr>
            <w:tcW w:w="1386" w:type="dxa"/>
            <w:tcBorders>
              <w:bottom w:val="single" w:sz="6" w:space="0" w:color="000000"/>
            </w:tcBorders>
            <w:shd w:color="auto" w:fill="auto" w:val="clear"/>
            <w:vAlign w:val="bottom"/>
          </w:tcPr>
          <w:p>
            <w:pPr>
              <w:pStyle w:val="Compact"/>
              <w:spacing w:before="36" w:after="36"/>
              <w:rPr/>
            </w:pPr>
            <w:r>
              <w:rPr/>
              <w:t>Устойчивость к шуму</w:t>
            </w:r>
          </w:p>
        </w:tc>
        <w:tc>
          <w:tcPr>
            <w:tcW w:w="2081" w:type="dxa"/>
            <w:tcBorders>
              <w:bottom w:val="single" w:sz="6" w:space="0" w:color="000000"/>
            </w:tcBorders>
            <w:shd w:color="auto" w:fill="auto" w:val="clear"/>
            <w:vAlign w:val="bottom"/>
          </w:tcPr>
          <w:p>
            <w:pPr>
              <w:pStyle w:val="Compact"/>
              <w:spacing w:before="36" w:after="36"/>
              <w:rPr/>
            </w:pPr>
            <w:r>
              <w:rPr/>
              <w:t>Гибкость алгоритма</w:t>
            </w:r>
          </w:p>
        </w:tc>
      </w:tr>
      <w:tr>
        <w:trPr/>
        <w:tc>
          <w:tcPr>
            <w:tcW w:w="1982" w:type="dxa"/>
            <w:tcBorders/>
            <w:shd w:color="auto" w:fill="auto" w:val="clear"/>
          </w:tcPr>
          <w:p>
            <w:pPr>
              <w:pStyle w:val="Compact"/>
              <w:spacing w:before="36" w:after="36"/>
              <w:rPr/>
            </w:pPr>
            <w:r>
              <w:rPr/>
              <w:t>Аналоговый компаратор</w:t>
            </w:r>
          </w:p>
        </w:tc>
        <w:tc>
          <w:tcPr>
            <w:tcW w:w="1755" w:type="dxa"/>
            <w:tcBorders/>
            <w:shd w:color="auto" w:fill="auto" w:val="clear"/>
          </w:tcPr>
          <w:p>
            <w:pPr>
              <w:pStyle w:val="Compact"/>
              <w:spacing w:before="36" w:after="36"/>
              <w:rPr/>
            </w:pPr>
            <w:r>
              <w:rPr/>
              <w:t>Преобразует сигнал в импульсы по уровню (ШОР-схема)</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Очень низкая (несколько операционных усилителей)</w:t>
            </w:r>
          </w:p>
        </w:tc>
        <w:tc>
          <w:tcPr>
            <w:tcW w:w="1386" w:type="dxa"/>
            <w:tcBorders/>
            <w:shd w:color="auto" w:fill="auto" w:val="clear"/>
          </w:tcPr>
          <w:p>
            <w:pPr>
              <w:pStyle w:val="Compact"/>
              <w:spacing w:before="36" w:after="36"/>
              <w:rPr/>
            </w:pPr>
            <w:r>
              <w:rPr/>
              <w:t>Низкая (один шумовой выброс дает ошибку)</w:t>
            </w:r>
          </w:p>
        </w:tc>
        <w:tc>
          <w:tcPr>
            <w:tcW w:w="2081" w:type="dxa"/>
            <w:tcBorders/>
            <w:shd w:color="auto" w:fill="auto" w:val="clear"/>
          </w:tcPr>
          <w:p>
            <w:pPr>
              <w:pStyle w:val="Compact"/>
              <w:spacing w:before="36" w:after="36"/>
              <w:rPr/>
            </w:pPr>
            <w:r>
              <w:rPr/>
              <w:t>Почти отсутствует (фиксированный порог)</w:t>
            </w:r>
          </w:p>
        </w:tc>
      </w:tr>
      <w:tr>
        <w:trPr/>
        <w:tc>
          <w:tcPr>
            <w:tcW w:w="1982" w:type="dxa"/>
            <w:tcBorders/>
            <w:shd w:color="auto" w:fill="auto" w:val="clear"/>
          </w:tcPr>
          <w:p>
            <w:pPr>
              <w:pStyle w:val="Compact"/>
              <w:spacing w:before="36" w:after="36"/>
              <w:rPr/>
            </w:pPr>
            <w:r>
              <w:rPr/>
              <w:t>Частотомер (прямой счет)</w:t>
            </w:r>
          </w:p>
        </w:tc>
        <w:tc>
          <w:tcPr>
            <w:tcW w:w="1755" w:type="dxa"/>
            <w:tcBorders/>
            <w:shd w:color="auto" w:fill="auto" w:val="clear"/>
          </w:tcPr>
          <w:p>
            <w:pPr>
              <w:pStyle w:val="Compact"/>
              <w:spacing w:before="36" w:after="36"/>
              <w:rPr/>
            </w:pPr>
            <w:r>
              <w:rPr/>
              <w:t>Считать $N$ периодов за $T$, $f=N/T$</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p>
        </w:tc>
        <w:tc>
          <w:tcPr>
            <w:tcW w:w="2367" w:type="dxa"/>
            <w:tcBorders/>
            <w:shd w:color="auto" w:fill="auto" w:val="clear"/>
          </w:tcPr>
          <w:p>
            <w:pPr>
              <w:pStyle w:val="Compact"/>
              <w:spacing w:before="36" w:after="36"/>
              <w:rPr/>
            </w:pPr>
            <w:r>
              <w:rPr/>
              <w:t>Низкая (лог. схема, таймер)</w:t>
            </w:r>
          </w:p>
        </w:tc>
        <w:tc>
          <w:tcPr>
            <w:tcW w:w="1386" w:type="dxa"/>
            <w:tcBorders/>
            <w:shd w:color="auto" w:fill="auto" w:val="clear"/>
          </w:tcPr>
          <w:p>
            <w:pPr>
              <w:pStyle w:val="Compact"/>
              <w:spacing w:before="36" w:after="36"/>
              <w:rPr/>
            </w:pPr>
            <w:r>
              <w:rPr/>
              <w:t>Средняя (шум на фронте ведет к пропускам)</w:t>
            </w:r>
          </w:p>
        </w:tc>
        <w:tc>
          <w:tcPr>
            <w:tcW w:w="2081" w:type="dxa"/>
            <w:tcBorders/>
            <w:shd w:color="auto" w:fill="auto" w:val="clear"/>
          </w:tcPr>
          <w:p>
            <w:pPr>
              <w:pStyle w:val="Compact"/>
              <w:spacing w:before="36" w:after="36"/>
              <w:rPr/>
            </w:pPr>
            <w:r>
              <w:rPr/>
              <w:t>Низкая (только частота)</w:t>
            </w:r>
          </w:p>
        </w:tc>
      </w:tr>
      <w:tr>
        <w:trPr/>
        <w:tc>
          <w:tcPr>
            <w:tcW w:w="1982" w:type="dxa"/>
            <w:tcBorders/>
            <w:shd w:color="auto" w:fill="auto" w:val="clear"/>
          </w:tcPr>
          <w:p>
            <w:pPr>
              <w:pStyle w:val="Compact"/>
              <w:spacing w:before="36" w:after="36"/>
              <w:rPr/>
            </w:pPr>
            <w:r>
              <w:rPr/>
              <w:t>ФАПЧ</w:t>
            </w:r>
          </w:p>
        </w:tc>
        <w:tc>
          <w:tcPr>
            <w:tcW w:w="1755" w:type="dxa"/>
            <w:tcBorders/>
            <w:shd w:color="auto" w:fill="auto" w:val="clear"/>
          </w:tcPr>
          <w:p>
            <w:pPr>
              <w:pStyle w:val="Compact"/>
              <w:spacing w:before="36" w:after="36"/>
              <w:rPr/>
            </w:pPr>
            <w:r>
              <w:rPr/>
              <w:t>VCO синхронизируется с входным, по управляющему напряжению $f$</w:t>
            </w:r>
          </w:p>
        </w:tc>
        <w:tc>
          <w:tcPr>
            <w:tcW w:w="2367" w:type="dxa"/>
            <w:tcBorders/>
            <w:shd w:color="auto" w:fill="auto" w:val="clear"/>
          </w:tcPr>
          <w:p>
            <w:pPr>
              <w:pStyle w:val="Compact"/>
              <w:spacing w:before="36" w:after="36"/>
              <w:rPr/>
            </w:pPr>
            <w:r>
              <w:rPr/>
              <w:t>Средняя (ФАПЧ-узел, фильтры)</w:t>
            </w:r>
          </w:p>
        </w:tc>
        <w:tc>
          <w:tcPr>
            <w:tcW w:w="1386" w:type="dxa"/>
            <w:tcBorders/>
            <w:shd w:color="auto" w:fill="auto" w:val="clear"/>
          </w:tcPr>
          <w:p>
            <w:pPr>
              <w:pStyle w:val="Compact"/>
              <w:spacing w:before="36" w:after="36"/>
              <w:rPr/>
            </w:pPr>
            <w:r>
              <w:rPr/>
              <w:t>Выше (фильтрация шумов, но ограниченная)</w:t>
            </w:r>
          </w:p>
        </w:tc>
        <w:tc>
          <w:tcPr>
            <w:tcW w:w="2081" w:type="dxa"/>
            <w:tcBorders/>
            <w:shd w:color="auto" w:fill="auto" w:val="clear"/>
          </w:tcPr>
          <w:p>
            <w:pPr>
              <w:pStyle w:val="Compact"/>
              <w:spacing w:before="36" w:after="36"/>
              <w:rPr/>
            </w:pPr>
            <w:r>
              <w:rPr/>
              <w:t>Средняя (адаптация задержки)</w:t>
            </w:r>
          </w:p>
        </w:tc>
      </w:tr>
      <w:tr>
        <w:trPr/>
        <w:tc>
          <w:tcPr>
            <w:tcW w:w="1982" w:type="dxa"/>
            <w:tcBorders/>
            <w:shd w:color="auto" w:fill="auto" w:val="clear"/>
          </w:tcPr>
          <w:p>
            <w:pPr>
              <w:pStyle w:val="Compact"/>
              <w:spacing w:before="36" w:after="36"/>
              <w:rPr/>
            </w:pPr>
            <w:r>
              <w:rPr/>
              <w:t>Аналого-цифровой осциллограф</w:t>
            </w:r>
          </w:p>
        </w:tc>
        <w:tc>
          <w:tcPr>
            <w:tcW w:w="1755" w:type="dxa"/>
            <w:tcBorders/>
            <w:shd w:color="auto" w:fill="auto" w:val="clear"/>
          </w:tcPr>
          <w:p>
            <w:pPr>
              <w:pStyle w:val="Compact"/>
              <w:spacing w:before="36" w:after="36"/>
              <w:rPr/>
            </w:pPr>
            <w:r>
              <w:rPr/>
              <w:t>Высокоскоростный АЦП + ЦПЛ/ЦП (запись формы сигнала)</w:t>
            </w:r>
          </w:p>
        </w:tc>
        <w:tc>
          <w:tcPr>
            <w:tcW w:w="2367" w:type="dxa"/>
            <w:tcBorders/>
            <w:shd w:color="auto" w:fill="auto" w:val="clear"/>
          </w:tcPr>
          <w:p>
            <w:pPr>
              <w:pStyle w:val="Compact"/>
              <w:spacing w:before="36" w:after="36"/>
              <w:rPr/>
            </w:pPr>
            <w:r>
              <w:rPr/>
              <w:t>Очень высокая (сложная электроника)</w:t>
            </w:r>
          </w:p>
        </w:tc>
        <w:tc>
          <w:tcPr>
            <w:tcW w:w="1386" w:type="dxa"/>
            <w:tcBorders/>
            <w:shd w:color="auto" w:fill="auto" w:val="clear"/>
          </w:tcPr>
          <w:p>
            <w:pPr>
              <w:pStyle w:val="Compact"/>
              <w:spacing w:before="36" w:after="36"/>
              <w:rPr/>
            </w:pPr>
            <w:r>
              <w:rPr/>
              <w:t>Очень высокая (цифровая фильтрация)</w:t>
            </w:r>
          </w:p>
        </w:tc>
        <w:tc>
          <w:tcPr>
            <w:tcW w:w="2081" w:type="dxa"/>
            <w:tcBorders/>
            <w:shd w:color="auto" w:fill="auto" w:val="clear"/>
          </w:tcPr>
          <w:p>
            <w:pPr>
              <w:pStyle w:val="Compact"/>
              <w:spacing w:before="36" w:after="36"/>
              <w:rPr/>
            </w:pPr>
            <w:r>
              <w:rPr/>
              <w:t>Очень высокая (произвольные алгоритмы)</w:t>
            </w:r>
          </w:p>
        </w:tc>
      </w:tr>
      <w:tr>
        <w:trPr/>
        <w:tc>
          <w:tcPr>
            <w:tcW w:w="1982" w:type="dxa"/>
            <w:tcBorders/>
            <w:shd w:color="auto" w:fill="auto" w:val="clear"/>
          </w:tcPr>
          <w:p>
            <w:pPr>
              <w:pStyle w:val="Compact"/>
              <w:spacing w:before="36" w:after="36"/>
              <w:rPr/>
            </w:pPr>
            <w:r>
              <w:rPr/>
              <w:t>АЦП + MCU (гистограмма + DSP)</w:t>
            </w:r>
          </w:p>
        </w:tc>
        <w:tc>
          <w:tcPr>
            <w:tcW w:w="1755" w:type="dxa"/>
            <w:tcBorders/>
            <w:shd w:color="auto" w:fill="auto" w:val="clear"/>
          </w:tcPr>
          <w:p>
            <w:pPr>
              <w:pStyle w:val="Compact"/>
              <w:spacing w:before="36" w:after="36"/>
              <w:rPr/>
            </w:pPr>
            <w:r>
              <w:rPr/>
              <w:t>Запись сигнала, цифровой анализ (гистограммы, FFT, кр. корреляция)</w:t>
            </w:r>
          </w:p>
        </w:tc>
        <w:tc>
          <w:tcPr>
            <w:tcW w:w="2367" w:type="dxa"/>
            <w:tcBorders/>
            <w:shd w:color="auto" w:fill="auto" w:val="clear"/>
          </w:tcPr>
          <w:p>
            <w:pPr>
              <w:pStyle w:val="Compact"/>
              <w:spacing w:before="36" w:after="36"/>
              <w:rPr/>
            </w:pPr>
            <w:r>
              <w:rPr/>
              <w:t>Средняя (микроконтроллер и АЦП)</w:t>
            </w:r>
          </w:p>
        </w:tc>
        <w:tc>
          <w:tcPr>
            <w:tcW w:w="1386" w:type="dxa"/>
            <w:tcBorders/>
            <w:shd w:color="auto" w:fill="auto" w:val="clear"/>
          </w:tcPr>
          <w:p>
            <w:pPr>
              <w:pStyle w:val="Compact"/>
              <w:spacing w:before="36" w:after="36"/>
              <w:rPr/>
            </w:pPr>
            <w:r>
              <w:rPr/>
              <w:t>Высокая (алгоритмы усреднения, фильтрация)</w:t>
            </w:r>
          </w:p>
        </w:tc>
        <w:tc>
          <w:tcPr>
            <w:tcW w:w="2081" w:type="dxa"/>
            <w:tcBorders/>
            <w:shd w:color="auto" w:fill="auto" w:val="clear"/>
          </w:tcPr>
          <w:p>
            <w:pPr>
              <w:pStyle w:val="Compact"/>
              <w:spacing w:before="36" w:after="36"/>
              <w:rPr/>
            </w:pPr>
            <w:r>
              <w:rPr/>
              <w:t>Высокая (программируемость)</w:t>
            </w:r>
          </w:p>
        </w:tc>
      </w:tr>
      <w:tr>
        <w:trPr/>
        <w:tc>
          <w:tcPr>
            <w:tcW w:w="1982" w:type="dxa"/>
            <w:tcBorders/>
            <w:shd w:color="auto" w:fill="auto" w:val="clear"/>
          </w:tcPr>
          <w:p>
            <w:pPr>
              <w:pStyle w:val="Compact"/>
              <w:spacing w:before="36" w:after="36"/>
              <w:rPr/>
            </w:pPr>
            <w:r>
              <w:rPr/>
              <w:t>БПФ-анализ (DIGITAL)</w:t>
            </w:r>
          </w:p>
        </w:tc>
        <w:tc>
          <w:tcPr>
            <w:tcW w:w="1755" w:type="dxa"/>
            <w:tcBorders/>
            <w:shd w:color="auto" w:fill="auto" w:val="clear"/>
          </w:tcPr>
          <w:p>
            <w:pPr>
              <w:pStyle w:val="Compact"/>
              <w:spacing w:before="36" w:after="36"/>
              <w:rPr/>
            </w:pPr>
            <w:r>
              <w:rPr/>
              <w:t>Быстрое преобразование Фурье для спектра</w:t>
            </w:r>
          </w:p>
        </w:tc>
        <w:tc>
          <w:tcPr>
            <w:tcW w:w="2367" w:type="dxa"/>
            <w:tcBorders/>
            <w:shd w:color="auto" w:fill="auto" w:val="clear"/>
          </w:tcPr>
          <w:p>
            <w:pPr>
              <w:pStyle w:val="Compact"/>
              <w:spacing w:before="36" w:after="36"/>
              <w:rPr/>
            </w:pPr>
            <w:r>
              <w:rPr/>
              <w:t>Средняя – высокая (микропроцессор/сопроц.)</w:t>
            </w:r>
          </w:p>
        </w:tc>
        <w:tc>
          <w:tcPr>
            <w:tcW w:w="1386" w:type="dxa"/>
            <w:tcBorders/>
            <w:shd w:color="auto" w:fill="auto" w:val="clear"/>
          </w:tcPr>
          <w:p>
            <w:pPr>
              <w:pStyle w:val="Compact"/>
              <w:spacing w:before="36" w:after="36"/>
              <w:rPr/>
            </w:pPr>
            <w:r>
              <w:rPr/>
              <w:t>Средняя (чувствителен к оконным эффектам)</w:t>
            </w:r>
          </w:p>
        </w:tc>
        <w:tc>
          <w:tcPr>
            <w:tcW w:w="2081" w:type="dxa"/>
            <w:tcBorders/>
            <w:shd w:color="auto" w:fill="auto" w:val="clear"/>
          </w:tcPr>
          <w:p>
            <w:pPr>
              <w:pStyle w:val="Compact"/>
              <w:spacing w:before="36" w:after="36"/>
              <w:rPr/>
            </w:pPr>
            <w:r>
              <w:rPr/>
              <w:t>Высокая (параметры FFT)</w:t>
            </w:r>
          </w:p>
        </w:tc>
      </w:tr>
      <w:tr>
        <w:trPr/>
        <w:tc>
          <w:tcPr>
            <w:tcW w:w="1982" w:type="dxa"/>
            <w:tcBorders/>
            <w:shd w:color="auto" w:fill="auto" w:val="clear"/>
          </w:tcPr>
          <w:p>
            <w:pPr>
              <w:pStyle w:val="Compact"/>
              <w:spacing w:before="36" w:after="36"/>
              <w:rPr/>
            </w:pPr>
            <w:r>
              <w:rPr/>
              <w:t>Нулевые пересечения (цифровой)</w:t>
            </w:r>
          </w:p>
        </w:tc>
        <w:tc>
          <w:tcPr>
            <w:tcW w:w="1755" w:type="dxa"/>
            <w:tcBorders/>
            <w:shd w:color="auto" w:fill="auto" w:val="clear"/>
          </w:tcPr>
          <w:p>
            <w:pPr>
              <w:pStyle w:val="Compact"/>
              <w:spacing w:before="36" w:after="36"/>
              <w:rPr/>
            </w:pPr>
            <w:r>
              <w:rPr/>
              <w:t>Определение моментов пересечения уровнем</w:t>
            </w:r>
          </w:p>
        </w:tc>
        <w:tc>
          <w:tcPr>
            <w:tcW w:w="2367" w:type="dxa"/>
            <w:tcBorders/>
            <w:shd w:color="auto" w:fill="auto" w:val="clear"/>
          </w:tcPr>
          <w:p>
            <w:pPr>
              <w:pStyle w:val="Compact"/>
              <w:spacing w:before="36" w:after="36"/>
              <w:rPr/>
            </w:pPr>
            <w:r>
              <w:rPr/>
              <w:t>Низкая – средняя (цифровые таймеры)</w:t>
            </w:r>
          </w:p>
        </w:tc>
        <w:tc>
          <w:tcPr>
            <w:tcW w:w="1386" w:type="dxa"/>
            <w:tcBorders/>
            <w:shd w:color="auto" w:fill="auto" w:val="clear"/>
          </w:tcPr>
          <w:p>
            <w:pPr>
              <w:pStyle w:val="Compact"/>
              <w:spacing w:before="36" w:after="36"/>
              <w:rPr/>
            </w:pPr>
            <w:r>
              <w:rPr/>
              <w:t>Низкая (фронт выскакивает при помехе)</w:t>
            </w:r>
          </w:p>
        </w:tc>
        <w:tc>
          <w:tcPr>
            <w:tcW w:w="2081" w:type="dxa"/>
            <w:tcBorders/>
            <w:shd w:color="auto" w:fill="auto" w:val="clear"/>
          </w:tcPr>
          <w:p>
            <w:pPr>
              <w:pStyle w:val="Compact"/>
              <w:spacing w:before="36" w:after="36"/>
              <w:rPr/>
            </w:pPr>
            <w:r>
              <w:rPr/>
              <w:t>Низкая (фикс. пороги)</w:t>
            </w:r>
          </w:p>
        </w:tc>
      </w:tr>
      <w:tr>
        <w:trPr/>
        <w:tc>
          <w:tcPr>
            <w:tcW w:w="1982" w:type="dxa"/>
            <w:tcBorders/>
            <w:shd w:color="auto" w:fill="auto" w:val="clear"/>
          </w:tcPr>
          <w:p>
            <w:pPr>
              <w:pStyle w:val="Compact"/>
              <w:spacing w:before="36" w:after="36"/>
              <w:rPr/>
            </w:pPr>
            <w:r>
              <w:rPr/>
              <w:t>Корреляционный (автокорреляция)</w:t>
            </w:r>
          </w:p>
        </w:tc>
        <w:tc>
          <w:tcPr>
            <w:tcW w:w="1755" w:type="dxa"/>
            <w:tcBorders/>
            <w:shd w:color="auto" w:fill="auto" w:val="clear"/>
          </w:tcPr>
          <w:p>
            <w:pPr>
              <w:pStyle w:val="Compact"/>
              <w:spacing w:before="36" w:after="36"/>
              <w:rPr/>
            </w:pPr>
            <w:r>
              <w:rPr/>
              <w:t>Сдвиг и корреляция сигнала с самим собой</w:t>
            </w:r>
          </w:p>
        </w:tc>
        <w:tc>
          <w:tcPr>
            <w:tcW w:w="2367" w:type="dxa"/>
            <w:tcBorders/>
            <w:shd w:color="auto" w:fill="auto" w:val="clear"/>
          </w:tcPr>
          <w:p>
            <w:pPr>
              <w:pStyle w:val="Compact"/>
              <w:spacing w:before="36" w:after="36"/>
              <w:rPr/>
            </w:pPr>
            <w:r>
              <w:rPr/>
              <w:t>Высокая (большая обработка)</w:t>
            </w:r>
          </w:p>
        </w:tc>
        <w:tc>
          <w:tcPr>
            <w:tcW w:w="1386" w:type="dxa"/>
            <w:tcBorders/>
            <w:shd w:color="auto" w:fill="auto" w:val="clear"/>
          </w:tcPr>
          <w:p>
            <w:pPr>
              <w:pStyle w:val="Compact"/>
              <w:spacing w:before="36" w:after="36"/>
              <w:rPr/>
            </w:pPr>
            <w:r>
              <w:rPr/>
              <w:t>Очень высокая (выделяет период из шума)</w:t>
            </w:r>
          </w:p>
        </w:tc>
        <w:tc>
          <w:tcPr>
            <w:tcW w:w="2081" w:type="dxa"/>
            <w:tcBorders/>
            <w:shd w:color="auto" w:fill="auto" w:val="clear"/>
          </w:tcPr>
          <w:p>
            <w:pPr>
              <w:pStyle w:val="Compact"/>
              <w:spacing w:before="36" w:after="36"/>
              <w:rPr/>
            </w:pPr>
            <w:r>
              <w:rPr/>
              <w:t>Высокая (гибкое определение шаблонов)</w:t>
            </w:r>
          </w:p>
        </w:tc>
      </w:tr>
      <w:tr>
        <w:trPr/>
        <w:tc>
          <w:tcPr>
            <w:tcW w:w="1982" w:type="dxa"/>
            <w:tcBorders/>
            <w:shd w:color="auto" w:fill="auto" w:val="clear"/>
          </w:tcPr>
          <w:p>
            <w:pPr>
              <w:pStyle w:val="Compact"/>
              <w:spacing w:before="36" w:after="36"/>
              <w:rPr/>
            </w:pPr>
            <w:r>
              <w:rPr/>
              <w:t>Специализированные DSP/FPGA</w:t>
            </w:r>
          </w:p>
        </w:tc>
        <w:tc>
          <w:tcPr>
            <w:tcW w:w="1755" w:type="dxa"/>
            <w:tcBorders/>
            <w:shd w:color="auto" w:fill="auto" w:val="clear"/>
          </w:tcPr>
          <w:p>
            <w:pPr>
              <w:pStyle w:val="Compact"/>
              <w:spacing w:before="36" w:after="36"/>
              <w:rPr/>
            </w:pPr>
            <w:r>
              <w:rPr/>
              <w:t>Аппаратная реализация алгоритмов (FFT, DM)</w:t>
            </w:r>
          </w:p>
        </w:tc>
        <w:tc>
          <w:tcPr>
            <w:tcW w:w="2367" w:type="dxa"/>
            <w:tcBorders/>
            <w:shd w:color="auto" w:fill="auto" w:val="clear"/>
          </w:tcPr>
          <w:p>
            <w:pPr>
              <w:pStyle w:val="Compact"/>
              <w:spacing w:before="36" w:after="36"/>
              <w:rPr/>
            </w:pPr>
            <w:r>
              <w:rPr/>
              <w:t>Очень высокая (комплексные ПЛИС)</w:t>
            </w:r>
          </w:p>
        </w:tc>
        <w:tc>
          <w:tcPr>
            <w:tcW w:w="1386" w:type="dxa"/>
            <w:tcBorders/>
            <w:shd w:color="auto" w:fill="auto" w:val="clear"/>
          </w:tcPr>
          <w:p>
            <w:pPr>
              <w:pStyle w:val="Compact"/>
              <w:spacing w:before="36" w:after="36"/>
              <w:rPr/>
            </w:pPr>
            <w:r>
              <w:rPr/>
              <w:t>Высокая (кастомные фильтры и алгоритмы)</w:t>
            </w:r>
          </w:p>
        </w:tc>
        <w:tc>
          <w:tcPr>
            <w:tcW w:w="2081" w:type="dxa"/>
            <w:tcBorders/>
            <w:shd w:color="auto" w:fill="auto" w:val="clear"/>
          </w:tcPr>
          <w:p>
            <w:pPr>
              <w:pStyle w:val="Compact"/>
              <w:spacing w:before="36" w:after="36"/>
              <w:rPr/>
            </w:pPr>
            <w:r>
              <w:rPr/>
              <w:t>Очень высокая (реконфигурируемость)</w:t>
            </w:r>
          </w:p>
        </w:tc>
      </w:tr>
    </w:tbl>
    <w:p>
      <w:pPr>
        <w:pStyle w:val="BodyText"/>
        <w:rPr>
          <w:lang w:val="ru-RU"/>
        </w:rPr>
      </w:pPr>
      <w:r>
        <w:rPr>
          <w:lang w:val="ru-RU"/>
        </w:rPr>
      </w:r>
    </w:p>
    <w:p>
      <w:pPr>
        <w:pStyle w:val="BodyText"/>
        <w:rPr/>
      </w:pPr>
      <w:r>
        <w:rPr/>
        <w:t xml:space="preserve">Источник: составлено автором на основе принципов из литературы </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w:t>
      </w:r>
    </w:p>
    <w:p>
      <w:pPr>
        <w:pStyle w:val="BodyText"/>
        <w:rPr/>
      </w:pPr>
      <w:r>
        <w:rPr/>
      </w:r>
    </w:p>
    <w:p>
      <w:pPr>
        <w:pStyle w:val="Heading2"/>
        <w:rPr/>
      </w:pPr>
      <w:bookmarkStart w:id="7" w:name="__RefHeading___Toc2165_1929968905"/>
      <w:bookmarkEnd w:id="7"/>
      <w:r>
        <w:rPr/>
        <w:t>1.6 Патентный поиск и обзор аналогичных решений</w:t>
      </w:r>
    </w:p>
    <w:p>
      <w:pPr>
        <w:pStyle w:val="BodyText"/>
        <w:rPr/>
      </w:pPr>
      <w:r>
        <w:rPr/>
        <w:t>В результате патентного поиска обнаружены отдельные решения, связанные с измерением параметров периодических сигналов:</w:t>
      </w:r>
    </w:p>
    <w:p>
      <w:pPr>
        <w:pStyle w:val="BodyText"/>
        <w:rPr>
          <w:lang w:val="en-US"/>
        </w:rPr>
      </w:pPr>
      <w:r>
        <w:rPr>
          <w:b/>
          <w:bCs/>
        </w:rPr>
        <w:t>- RU2183839C1 (2002):</w:t>
      </w:r>
      <w:r>
        <w:rPr/>
        <w:t xml:space="preserve"> описан метод измерения частоты синусоидальных сигналов через рекуррентные формулы фаз</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r>
        <w:rPr/>
        <w:t>. Устройство использует операторы умножения и низкочастотные фильтры, выдает мгновенную оценку частоты в реальном времени</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1%8B%D1%80%D0%B0%D0%B6%D0%B5%D0%BD%D0%B8%D1%8F%D0%BC%D0%B8%2C%20%D0%BF%D1%80%D0%B8%20%D1%8D%D1%82%D0%BE%D0%BC%20%D0%BE%D1%86%D0%B5%D0%BD%D0%BA%D1%83%20%D1%87%D0%B0%D1%81%D1%82%D0%BE%D1%82%D1%8B"</w:instrText>
      </w:r>
      <w:r>
        <w:rPr>
          <w:rStyle w:val="Hyperlink"/>
        </w:rPr>
        <w:fldChar w:fldCharType="separate"/>
      </w:r>
      <w:r>
        <w:rPr>
          <w:rStyle w:val="Hyperlink"/>
        </w:rPr>
        <w:t>[11]</w:t>
      </w:r>
      <w:r>
        <w:rPr>
          <w:rStyle w:val="Hyperlink"/>
        </w:rPr>
        <w:fldChar w:fldCharType="end"/>
      </w:r>
      <w:r>
        <w:rPr/>
        <w:t>. Это узко специализированный алгоритм фазового отслеживания (ФАПЧ-подход)</w:t>
      </w:r>
      <w:r>
        <w:rPr>
          <w:lang w:val="en-US"/>
        </w:rPr>
        <w:t>;</w:t>
      </w:r>
    </w:p>
    <w:p>
      <w:pPr>
        <w:pStyle w:val="BodyText"/>
        <w:rPr/>
      </w:pPr>
      <w:r>
        <w:rPr>
          <w:b/>
          <w:bCs/>
        </w:rPr>
        <w:t>- RU2229139C1 (2004):</w:t>
      </w:r>
      <w:r>
        <w:rPr/>
        <w:t xml:space="preserve"> предлагается способ спектрального анализа сложного периодического сигнала: перемножение анализируемого сигнала с бинарным опорным, суммирование результатов за период и поиск максимума постоянной составляющей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 xml:space="preserve">. Это снижает время анализа за счет перебора фаз опорного сигнала. Метод позволяет определить частоту и амплитуду гармоник </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b/>
          <w:bCs/>
        </w:rPr>
        <w:t>- SU 1709262 (1992, СССР):</w:t>
      </w:r>
      <w:r>
        <w:rPr/>
        <w:t xml:space="preserve"> «Калибратор периодических сигналов» (Живилов) – аппарат для генерации синусоидальных и шумоподобных сигналов. Скорее генератор, чем измеритель, но показывает интерес к периодическим сигналам;</w:t>
      </w:r>
    </w:p>
    <w:p>
      <w:pPr>
        <w:pStyle w:val="BodyText"/>
        <w:rPr/>
      </w:pPr>
      <w:r>
        <w:rPr>
          <w:b/>
          <w:bCs/>
        </w:rPr>
        <w:t>- RU2365924 (2009):</w:t>
      </w:r>
      <w:r>
        <w:rPr/>
        <w:t xml:space="preserve"> (описание на сайте allpatents) – способ измерения средней частоты периодических сигналов; детали неясны из открытых источников;</w:t>
      </w:r>
    </w:p>
    <w:p>
      <w:pPr>
        <w:pStyle w:val="BodyText"/>
        <w:rPr>
          <w:b/>
          <w:bCs/>
        </w:rPr>
      </w:pPr>
      <w:r>
        <w:rPr>
          <w:b/>
          <w:bCs/>
        </w:rPr>
        <w:t>- RU2740790 (2019?):</w:t>
      </w:r>
      <w:r>
        <w:rPr/>
        <w:t xml:space="preserve"> (по фрагментам поиска) – фокусируется на фазовой оценке в шуме (повышение точности фазовых измерений многочастотных сигналов). Указывает, что именно проблема наличия шумов актуальна;</w:t>
      </w:r>
    </w:p>
    <w:p>
      <w:pPr>
        <w:pStyle w:val="BodyText"/>
        <w:rPr/>
      </w:pPr>
      <w:r>
        <w:rPr/>
        <w:t>Так же, в открытом доступе много различных коммерческих осциллографов, однако необходимо отметить – осциллографы решают проблему измерения формы сигнала и являются универсальным самостоятельным диагностическим инструментом для человека. В данной работе рассматривается устройство, которое можно встроить в любую установку и использовать в составе этой установке. То есть человеко-машинный интерфейс не нужен, а вот функциональность нужна.</w:t>
      </w:r>
    </w:p>
    <w:p>
      <w:pPr>
        <w:pStyle w:val="BodyText"/>
        <w:rPr/>
      </w:pPr>
      <w:r>
        <w:rPr/>
        <w:t>По результатам поиска, патентов и готовых продуктов, специально заточенных на измерение амплитуды и частоты в присутствии помех (кроме генераторов/осциллографов), практически нет. Большинство публикаций и патентов предлагают лишь отдельные методы обработки или генерации сигналов</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fldChar w:fldCharType="begin"/>
      </w:r>
      <w:r>
        <w:rPr>
          <w:rStyle w:val="Hyperlink"/>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rPr>
        <w:fldChar w:fldCharType="separate"/>
      </w:r>
      <w:r>
        <w:rPr>
          <w:rStyle w:val="Hyperlink"/>
        </w:rPr>
        <w:t>[11]</w:t>
      </w:r>
      <w:r>
        <w:rPr>
          <w:rStyle w:val="Hyperlink"/>
        </w:rPr>
        <w:fldChar w:fldCharType="end"/>
      </w:r>
      <w:r>
        <w:rPr/>
        <w:t>.</w:t>
      </w:r>
    </w:p>
    <w:p>
      <w:pPr>
        <w:pStyle w:val="BodyText"/>
        <w:rPr/>
      </w:pPr>
      <w:r>
        <w:rPr/>
        <w:t>В таблице ниже приведено сравнение найденных патентов и прототипов:</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364"/>
        <w:gridCol w:w="4013"/>
        <w:gridCol w:w="3194"/>
      </w:tblGrid>
      <w:tr>
        <w:trPr>
          <w:tblHeader w:val="true"/>
        </w:trPr>
        <w:tc>
          <w:tcPr>
            <w:tcW w:w="2364" w:type="dxa"/>
            <w:tcBorders>
              <w:bottom w:val="single" w:sz="6" w:space="0" w:color="000000"/>
            </w:tcBorders>
            <w:shd w:color="auto" w:fill="auto" w:val="clear"/>
            <w:vAlign w:val="bottom"/>
          </w:tcPr>
          <w:p>
            <w:pPr>
              <w:pStyle w:val="Compact"/>
              <w:spacing w:before="36" w:after="36"/>
              <w:rPr/>
            </w:pPr>
            <w:r>
              <w:rPr/>
              <w:t>Патент/устройство</w:t>
            </w:r>
          </w:p>
        </w:tc>
        <w:tc>
          <w:tcPr>
            <w:tcW w:w="4013" w:type="dxa"/>
            <w:tcBorders>
              <w:bottom w:val="single" w:sz="6" w:space="0" w:color="000000"/>
            </w:tcBorders>
            <w:shd w:color="auto" w:fill="auto" w:val="clear"/>
            <w:vAlign w:val="bottom"/>
          </w:tcPr>
          <w:p>
            <w:pPr>
              <w:pStyle w:val="Compact"/>
              <w:spacing w:before="36" w:after="36"/>
              <w:rPr/>
            </w:pPr>
            <w:r>
              <w:rPr/>
              <w:t>Суть решения</w:t>
            </w:r>
          </w:p>
        </w:tc>
        <w:tc>
          <w:tcPr>
            <w:tcW w:w="3194" w:type="dxa"/>
            <w:tcBorders>
              <w:bottom w:val="single" w:sz="6" w:space="0" w:color="000000"/>
            </w:tcBorders>
            <w:shd w:color="auto" w:fill="auto" w:val="clear"/>
            <w:vAlign w:val="bottom"/>
          </w:tcPr>
          <w:p>
            <w:pPr>
              <w:pStyle w:val="Compact"/>
              <w:spacing w:before="36" w:after="36"/>
              <w:rPr/>
            </w:pPr>
            <w:r>
              <w:rPr/>
              <w:t>Комментарий</w:t>
            </w:r>
          </w:p>
        </w:tc>
      </w:tr>
      <w:tr>
        <w:trPr/>
        <w:tc>
          <w:tcPr>
            <w:tcW w:w="2364" w:type="dxa"/>
            <w:tcBorders/>
            <w:shd w:color="auto" w:fill="auto" w:val="clear"/>
          </w:tcPr>
          <w:p>
            <w:pPr>
              <w:pStyle w:val="Compact"/>
              <w:spacing w:before="36" w:after="36"/>
              <w:rPr/>
            </w:pPr>
            <w:r>
              <w:rPr/>
              <w:t>RU2183839C1 (2002)</w:t>
            </w:r>
            <w:r>
              <w:fldChar w:fldCharType="begin"/>
            </w:r>
            <w:r>
              <w:rPr>
                <w:rStyle w:val="Hyperlink"/>
              </w:rPr>
              <w:instrText xml:space="preserve"> HYPERLINK "https://patents.google.com/patent/RU2183839C1/ru" \l ":~:text=%D0%98%D0%B7%D0%BE%D0%B1%D1%80%D0%B5%D1%82%D0%B5%D0%BD%D0%B8%D0%B5%20%D0%BE%D1%82%D0%BD%D0%BE%D1%81%D0%B8%D1%82%D1%81%D1%8F%20%D0%BA%20%D1%82%D0%B5%D1%85%D0%BD%D0%B8%D0%BA%D0%B5%20%D1%81%D0%B2%D1%8F%D0%B7%D0%B8,%D0%B2%D0%BE%D1%81%D1%81%D1%82%D0%B0%D0%BD%D0%BE%D0%B2%D0%BB%D0%B5%D0%BD%D0%B8%D1%8F%20%D0%BD%D0%B5%D1%81%D1%83%D1%89%D0%B5%D0%B9%20%D1%87%D0%B0%D1%81%D1%82%D0%BE%D1%82%D1%8B%20%D1%84%D0%B0%D0%B7%D0%BE%D0%B2%D1%8B%D1%85%20%D0%B4%D0%B5%D0%BC%D0%BE%D0%B4%D1%83%D0%BB%D1%8F%D1%82%D0%BE%D1%80%D0%BE%D0%B2"</w:instrText>
            </w:r>
            <w:r>
              <w:rPr>
                <w:rStyle w:val="Hyperlink"/>
              </w:rPr>
              <w:fldChar w:fldCharType="separate"/>
            </w:r>
            <w:r>
              <w:rPr>
                <w:rStyle w:val="Hyperlink"/>
              </w:rPr>
              <w:t>[11]</w:t>
            </w:r>
            <w:r>
              <w:rPr>
                <w:rStyle w:val="Hyperlink"/>
              </w:rPr>
              <w:fldChar w:fldCharType="end"/>
            </w:r>
          </w:p>
        </w:tc>
        <w:tc>
          <w:tcPr>
            <w:tcW w:w="4013" w:type="dxa"/>
            <w:tcBorders/>
            <w:shd w:color="auto" w:fill="auto" w:val="clear"/>
          </w:tcPr>
          <w:p>
            <w:pPr>
              <w:pStyle w:val="Compact"/>
              <w:spacing w:before="36" w:after="36"/>
              <w:rPr/>
            </w:pPr>
            <w:r>
              <w:rPr/>
              <w:t>Измерение частоты через фазовый метод с рекуррентными формулами; реализовано на составе умножители+ФНЧ</w:t>
            </w:r>
          </w:p>
        </w:tc>
        <w:tc>
          <w:tcPr>
            <w:tcW w:w="3194" w:type="dxa"/>
            <w:tcBorders/>
            <w:shd w:color="auto" w:fill="auto" w:val="clear"/>
          </w:tcPr>
          <w:p>
            <w:pPr>
              <w:pStyle w:val="Compact"/>
              <w:spacing w:before="36" w:after="36"/>
              <w:rPr/>
            </w:pPr>
            <w:r>
              <w:rPr/>
              <w:t>Высокая скорость оценки, но сложная схема ФАПЧ; фокус на частоте.</w:t>
            </w:r>
          </w:p>
        </w:tc>
      </w:tr>
      <w:tr>
        <w:trPr/>
        <w:tc>
          <w:tcPr>
            <w:tcW w:w="2364" w:type="dxa"/>
            <w:tcBorders/>
            <w:shd w:color="auto" w:fill="auto" w:val="clear"/>
          </w:tcPr>
          <w:p>
            <w:pPr>
              <w:pStyle w:val="Compact"/>
              <w:spacing w:before="36" w:after="36"/>
              <w:rPr/>
            </w:pPr>
            <w:r>
              <w:rPr/>
              <w:t>RU2229139C1 (2004)</w:t>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p>
        </w:tc>
        <w:tc>
          <w:tcPr>
            <w:tcW w:w="4013" w:type="dxa"/>
            <w:tcBorders/>
            <w:shd w:color="auto" w:fill="auto" w:val="clear"/>
          </w:tcPr>
          <w:p>
            <w:pPr>
              <w:pStyle w:val="Compact"/>
              <w:spacing w:before="36" w:after="36"/>
              <w:rPr/>
            </w:pPr>
            <w:r>
              <w:rPr/>
              <w:t>Спектральный анализ сложных сигналов через перемножение с опорным сигналом (перебор фаз)</w:t>
            </w:r>
          </w:p>
        </w:tc>
        <w:tc>
          <w:tcPr>
            <w:tcW w:w="3194" w:type="dxa"/>
            <w:tcBorders/>
            <w:shd w:color="auto" w:fill="auto" w:val="clear"/>
          </w:tcPr>
          <w:p>
            <w:pPr>
              <w:pStyle w:val="Compact"/>
              <w:spacing w:before="36" w:after="36"/>
              <w:rPr/>
            </w:pPr>
            <w:r>
              <w:rPr/>
              <w:t>Ускоряет расчет спектра за счет бинарного опорного; ориентирован на анализ спектра.</w:t>
            </w:r>
          </w:p>
        </w:tc>
      </w:tr>
      <w:tr>
        <w:trPr/>
        <w:tc>
          <w:tcPr>
            <w:tcW w:w="2364" w:type="dxa"/>
            <w:tcBorders/>
            <w:shd w:color="auto" w:fill="auto" w:val="clear"/>
          </w:tcPr>
          <w:p>
            <w:pPr>
              <w:pStyle w:val="Compact"/>
              <w:spacing w:before="36" w:after="36"/>
              <w:rPr/>
            </w:pPr>
            <w:r>
              <w:rPr/>
              <w:t>SU1709262 (1992)</w:t>
            </w:r>
          </w:p>
        </w:tc>
        <w:tc>
          <w:tcPr>
            <w:tcW w:w="4013" w:type="dxa"/>
            <w:tcBorders/>
            <w:shd w:color="auto" w:fill="auto" w:val="clear"/>
          </w:tcPr>
          <w:p>
            <w:pPr>
              <w:pStyle w:val="Compact"/>
              <w:spacing w:before="36" w:after="36"/>
              <w:rPr/>
            </w:pPr>
            <w:r>
              <w:rPr/>
              <w:t>Генератор / калибратор периодических сигналов</w:t>
            </w:r>
          </w:p>
        </w:tc>
        <w:tc>
          <w:tcPr>
            <w:tcW w:w="3194" w:type="dxa"/>
            <w:tcBorders/>
            <w:shd w:color="auto" w:fill="auto" w:val="clear"/>
          </w:tcPr>
          <w:p>
            <w:pPr>
              <w:pStyle w:val="Compact"/>
              <w:spacing w:before="36" w:after="36"/>
              <w:rPr/>
            </w:pPr>
            <w:r>
              <w:rPr/>
              <w:t>Генерация эталонных сигналов (синусоид, шумов), не измеритель.</w:t>
            </w:r>
          </w:p>
        </w:tc>
      </w:tr>
      <w:tr>
        <w:trPr/>
        <w:tc>
          <w:tcPr>
            <w:tcW w:w="2364" w:type="dxa"/>
            <w:tcBorders/>
            <w:shd w:color="auto" w:fill="auto" w:val="clear"/>
          </w:tcPr>
          <w:p>
            <w:pPr>
              <w:pStyle w:val="Compact"/>
              <w:spacing w:before="36" w:after="36"/>
              <w:rPr/>
            </w:pPr>
            <w:r>
              <w:rPr/>
              <w:t>RU2365924 (2009)</w:t>
            </w:r>
          </w:p>
        </w:tc>
        <w:tc>
          <w:tcPr>
            <w:tcW w:w="4013" w:type="dxa"/>
            <w:tcBorders/>
            <w:shd w:color="auto" w:fill="auto" w:val="clear"/>
          </w:tcPr>
          <w:p>
            <w:pPr>
              <w:pStyle w:val="Compact"/>
              <w:spacing w:before="36" w:after="36"/>
              <w:rPr/>
            </w:pPr>
            <w:r>
              <w:rPr/>
              <w:t>Измерение средней частоты периодических сигналов</w:t>
            </w:r>
          </w:p>
        </w:tc>
        <w:tc>
          <w:tcPr>
            <w:tcW w:w="3194" w:type="dxa"/>
            <w:tcBorders/>
            <w:shd w:color="auto" w:fill="auto" w:val="clear"/>
          </w:tcPr>
          <w:p>
            <w:pPr>
              <w:pStyle w:val="Compact"/>
              <w:spacing w:before="36" w:after="36"/>
              <w:rPr/>
            </w:pPr>
            <w:r>
              <w:rPr/>
              <w:t>Подробностей нет (типа прямой метод счета), заявлено ЦИ-техникой.</w:t>
            </w:r>
          </w:p>
        </w:tc>
      </w:tr>
      <w:tr>
        <w:trPr/>
        <w:tc>
          <w:tcPr>
            <w:tcW w:w="2364" w:type="dxa"/>
            <w:tcBorders/>
            <w:shd w:color="auto" w:fill="auto" w:val="clear"/>
          </w:tcPr>
          <w:p>
            <w:pPr>
              <w:pStyle w:val="Compact"/>
              <w:spacing w:before="36" w:after="36"/>
              <w:rPr/>
            </w:pPr>
            <w:r>
              <w:rPr/>
              <w:t>Коммерческие приборы</w:t>
            </w:r>
          </w:p>
        </w:tc>
        <w:tc>
          <w:tcPr>
            <w:tcW w:w="4013" w:type="dxa"/>
            <w:tcBorders/>
            <w:shd w:color="auto" w:fill="auto" w:val="clear"/>
          </w:tcPr>
          <w:p>
            <w:pPr>
              <w:pStyle w:val="Compact"/>
              <w:spacing w:before="36" w:after="36"/>
              <w:rPr/>
            </w:pPr>
            <w:r>
              <w:rPr/>
              <w:t>Осциллографы / анализаторы спектра (Tektronix, Agilent)</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p>
        </w:tc>
        <w:tc>
          <w:tcPr>
            <w:tcW w:w="3194" w:type="dxa"/>
            <w:tcBorders/>
            <w:shd w:color="auto" w:fill="auto" w:val="clear"/>
          </w:tcPr>
          <w:p>
            <w:pPr>
              <w:pStyle w:val="Compact"/>
              <w:spacing w:before="36" w:after="36"/>
              <w:rPr/>
            </w:pPr>
            <w:r>
              <w:rPr/>
              <w:t>Готовые системы сбора и анализа сигналов; стоят дорого и крупны.</w:t>
            </w:r>
          </w:p>
        </w:tc>
      </w:tr>
    </w:tbl>
    <w:p>
      <w:pPr>
        <w:pStyle w:val="BodyText"/>
        <w:rPr/>
      </w:pPr>
      <w:r>
        <w:rPr/>
        <w:t>(Примечание: источники – описания патентов и спецификации).</w:t>
      </w:r>
    </w:p>
    <w:p>
      <w:pPr>
        <w:pStyle w:val="Heading2"/>
        <w:rPr/>
      </w:pPr>
      <w:bookmarkStart w:id="8" w:name="__RefHeading___Toc2167_1929968905"/>
      <w:bookmarkEnd w:id="8"/>
      <w:r>
        <w:rPr/>
        <w:t>8. Рекомендованный объем экспериментальной проверки</w:t>
      </w:r>
    </w:p>
    <w:p>
      <w:pPr>
        <w:pStyle w:val="BodyText"/>
        <w:rPr/>
      </w:pPr>
      <w:r>
        <w:rPr/>
        <w:t>Для проверки и подтверждения результатов исследований предлагается следующий экспериментальный план:</w:t>
      </w:r>
    </w:p>
    <w:p>
      <w:pPr>
        <w:pStyle w:val="BodyText"/>
        <w:rPr/>
      </w:pPr>
      <w:r>
        <w:rPr>
          <w:b/>
          <w:bCs/>
        </w:rPr>
        <w:t>Тестовые сигналы:</w:t>
      </w:r>
      <w:r>
        <w:rPr/>
        <w:t xml:space="preserve"> Использовать несколько видов периодических сигналов (синусоида, прямоугольник, треугольник) на разных частотах (например, 1 кГц – 100 кГц). Для каждого генерировать сигнал стабильного уровня.</w:t>
      </w:r>
    </w:p>
    <w:p>
      <w:pPr>
        <w:pStyle w:val="BodyText"/>
        <w:rPr/>
      </w:pPr>
      <w:r>
        <w:rPr>
          <w:b/>
          <w:bCs/>
        </w:rPr>
        <w:t>Модуляция помехами:</w:t>
      </w:r>
      <w:r>
        <w:rPr/>
        <w:t xml:space="preserve"> Подавать на вход устройства контролируемые помехи:</w:t>
      </w:r>
    </w:p>
    <w:p>
      <w:pPr>
        <w:pStyle w:val="BodyText"/>
        <w:rPr/>
      </w:pPr>
      <w:r>
        <w:rPr/>
        <w:t>аддитивный белый шум с разной амплитудой (менять SNR от, скажем, 0 до 40 дБ),</w:t>
      </w:r>
    </w:p>
    <w:p>
      <w:pPr>
        <w:pStyle w:val="BodyText"/>
        <w:rPr/>
      </w:pPr>
      <w:r>
        <w:rPr/>
        <w:t>узкополосные помехи (синусоиды сторонних частот),</w:t>
      </w:r>
    </w:p>
    <w:p>
      <w:pPr>
        <w:pStyle w:val="BodyText"/>
        <w:rPr/>
      </w:pPr>
      <w:r>
        <w:rPr/>
        <w:t>импульсные помехи (короткие выбросы).</w:t>
      </w:r>
    </w:p>
    <w:p>
      <w:pPr>
        <w:pStyle w:val="BodyText"/>
        <w:rPr/>
      </w:pPr>
      <w:r>
        <w:rPr>
          <w:b/>
          <w:bCs/>
        </w:rPr>
        <w:t>- Измерение погрешностей:</w:t>
      </w:r>
      <w:r>
        <w:rPr/>
        <w:t xml:space="preserve"> Сравнить измеренные системой амплитуды и частоты с эталонными. Построить графики погрешности vs SNR, vs уровень импульсных выбросов. Оценить стабильность измерения при длинном интегрировании (усреднении гистограммы);</w:t>
      </w:r>
    </w:p>
    <w:p>
      <w:pPr>
        <w:pStyle w:val="BodyText"/>
        <w:rPr>
          <w:lang w:val="en-US"/>
        </w:rPr>
      </w:pPr>
      <w:r>
        <w:rPr>
          <w:b/>
          <w:bCs/>
        </w:rPr>
        <w:t>- Сравнение методов:</w:t>
      </w:r>
      <w:r>
        <w:rPr/>
        <w:t xml:space="preserve"> Для оценки эффективности алгоритмов можно реализовать несколько стратегий на ПК: чистый FFT-анализ, метод корреляции, гистограммный. Сопоставить их результаты по точности и скорости вычисления</w:t>
      </w:r>
      <w:r>
        <w:rPr>
          <w:lang w:val="en-US"/>
        </w:rPr>
        <w:t>;</w:t>
      </w:r>
    </w:p>
    <w:p>
      <w:pPr>
        <w:pStyle w:val="BodyText"/>
        <w:rPr/>
      </w:pPr>
      <w:r>
        <w:rPr>
          <w:b/>
          <w:bCs/>
        </w:rPr>
        <w:t>- Тест погрешностей:</w:t>
      </w:r>
      <w:r>
        <w:rPr/>
        <w:t xml:space="preserve"> Измерить собственный шум системы (ждущий режим) и погрешность АЦП (шум квантования, привод), чтобы отделить ошибки алгоритма от аппаратных.</w:t>
      </w:r>
    </w:p>
    <w:p>
      <w:pPr>
        <w:pStyle w:val="BodyText"/>
        <w:rPr/>
      </w:pPr>
      <w:r>
        <w:rPr>
          <w:b/>
          <w:bCs/>
        </w:rPr>
        <w:t>- Интеграция в проект «Кристалл»:</w:t>
      </w:r>
      <w:r>
        <w:rPr/>
        <w:t xml:space="preserve"> Проверить в реальном применении: интегрировать измерительный тракт в отладочную установку тестирования микросхем («кристалл»), как было сделано в коммерческой версии проекта. Оценить надежность в рабочей среде (температура, электропомехи корпуса и т.д.);</w:t>
      </w:r>
    </w:p>
    <w:p>
      <w:pPr>
        <w:pStyle w:val="BodyText"/>
        <w:rPr/>
      </w:pPr>
      <w:r>
        <w:rPr>
          <w:b/>
          <w:bCs/>
        </w:rPr>
        <w:t>Требуемые компоненты и примерная стоимость:</w:t>
      </w:r>
      <w:r>
        <w:rPr/>
        <w:t xml:space="preserve"> Ниже приведена таблица с основными элементами макета (указанные цены ориентировочны, если неизвестно – «не указано»):</w:t>
      </w:r>
    </w:p>
    <w:tbl>
      <w:tblPr>
        <w:tblW w:w="9571" w:type="dxa"/>
        <w:jc w:val="start"/>
        <w:tblInd w:w="0" w:type="dxa"/>
        <w:tblLayout w:type="fixed"/>
        <w:tblCellMar>
          <w:top w:w="0" w:type="dxa"/>
          <w:start w:w="108" w:type="dxa"/>
          <w:bottom w:w="0" w:type="dxa"/>
          <w:end w:w="108" w:type="dxa"/>
        </w:tblCellMar>
        <w:tblLook w:val="0020" w:noHBand="0" w:noVBand="0" w:firstColumn="0" w:lastRow="0" w:lastColumn="0" w:firstRow="1"/>
      </w:tblPr>
      <w:tblGrid>
        <w:gridCol w:w="2728"/>
        <w:gridCol w:w="2008"/>
        <w:gridCol w:w="1828"/>
        <w:gridCol w:w="3006"/>
      </w:tblGrid>
      <w:tr>
        <w:trPr>
          <w:tblHeader w:val="true"/>
        </w:trPr>
        <w:tc>
          <w:tcPr>
            <w:tcW w:w="2728" w:type="dxa"/>
            <w:tcBorders>
              <w:bottom w:val="single" w:sz="6" w:space="0" w:color="000000"/>
            </w:tcBorders>
            <w:shd w:color="auto" w:fill="auto" w:val="clear"/>
            <w:vAlign w:val="bottom"/>
          </w:tcPr>
          <w:p>
            <w:pPr>
              <w:pStyle w:val="Compact"/>
              <w:spacing w:before="36" w:after="36"/>
              <w:rPr/>
            </w:pPr>
            <w:r>
              <w:rPr/>
              <w:t>Компонент</w:t>
            </w:r>
          </w:p>
        </w:tc>
        <w:tc>
          <w:tcPr>
            <w:tcW w:w="2008" w:type="dxa"/>
            <w:tcBorders>
              <w:bottom w:val="single" w:sz="6" w:space="0" w:color="000000"/>
            </w:tcBorders>
            <w:shd w:color="auto" w:fill="auto" w:val="clear"/>
            <w:vAlign w:val="bottom"/>
          </w:tcPr>
          <w:p>
            <w:pPr>
              <w:pStyle w:val="Compact"/>
              <w:spacing w:before="36" w:after="36"/>
              <w:rPr/>
            </w:pPr>
            <w:r>
              <w:rPr/>
              <w:t>Кол-во</w:t>
            </w:r>
          </w:p>
        </w:tc>
        <w:tc>
          <w:tcPr>
            <w:tcW w:w="1828" w:type="dxa"/>
            <w:tcBorders>
              <w:bottom w:val="single" w:sz="6" w:space="0" w:color="000000"/>
            </w:tcBorders>
            <w:shd w:color="auto" w:fill="auto" w:val="clear"/>
            <w:vAlign w:val="bottom"/>
          </w:tcPr>
          <w:p>
            <w:pPr>
              <w:pStyle w:val="Compact"/>
              <w:spacing w:before="36" w:after="36"/>
              <w:rPr/>
            </w:pPr>
            <w:r>
              <w:rPr/>
              <w:t>Примерная стоимость</w:t>
            </w:r>
          </w:p>
        </w:tc>
        <w:tc>
          <w:tcPr>
            <w:tcW w:w="3006" w:type="dxa"/>
            <w:tcBorders>
              <w:bottom w:val="single" w:sz="6" w:space="0" w:color="000000"/>
            </w:tcBorders>
            <w:shd w:color="auto" w:fill="auto" w:val="clear"/>
            <w:vAlign w:val="bottom"/>
          </w:tcPr>
          <w:p>
            <w:pPr>
              <w:pStyle w:val="Compact"/>
              <w:spacing w:before="36" w:after="36"/>
              <w:rPr/>
            </w:pPr>
            <w:r>
              <w:rPr/>
              <w:t>Примечание</w:t>
            </w:r>
          </w:p>
        </w:tc>
      </w:tr>
      <w:tr>
        <w:trPr/>
        <w:tc>
          <w:tcPr>
            <w:tcW w:w="2728" w:type="dxa"/>
            <w:tcBorders/>
            <w:shd w:color="auto" w:fill="auto" w:val="clear"/>
          </w:tcPr>
          <w:p>
            <w:pPr>
              <w:pStyle w:val="Compact"/>
              <w:spacing w:before="36" w:after="36"/>
              <w:rPr/>
            </w:pPr>
            <w:r>
              <w:rPr/>
              <w:t>МК STM32F407VGT6 (Cortex-M4)</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168</w:t>
            </w:r>
            <w:r>
              <w:rPr>
                <w:rFonts w:cs="Arial" w:ascii="Arial" w:hAnsi="Arial"/>
              </w:rPr>
              <w:t> </w:t>
            </w:r>
            <w:r>
              <w:rPr/>
              <w:t>МГц, 512 КБ Flash, LQFP100</w:t>
            </w:r>
            <w:r>
              <w:fldChar w:fldCharType="begin"/>
            </w:r>
            <w:r>
              <w:rPr>
                <w:rStyle w:val="Hyperlink"/>
              </w:rPr>
              <w:instrText xml:space="preserve"> HYPERLINK "https://www.st.com/resource/en/datasheet/dm00037051.pdf" \l ":~:text=Arm%C2%AE%20Cortex%C2%AE,wait%20state%20execution"</w:instrText>
            </w:r>
            <w:r>
              <w:rPr>
                <w:rStyle w:val="Hyperlink"/>
              </w:rPr>
              <w:fldChar w:fldCharType="separate"/>
            </w:r>
            <w:r>
              <w:rPr>
                <w:rStyle w:val="Hyperlink"/>
              </w:rPr>
              <w:t>[17]</w:t>
            </w:r>
            <w:r>
              <w:rPr>
                <w:rStyle w:val="Hyperlink"/>
              </w:rPr>
              <w:fldChar w:fldCharType="end"/>
            </w:r>
          </w:p>
        </w:tc>
      </w:tr>
      <w:tr>
        <w:trPr/>
        <w:tc>
          <w:tcPr>
            <w:tcW w:w="2728" w:type="dxa"/>
            <w:tcBorders/>
            <w:shd w:color="auto" w:fill="auto" w:val="clear"/>
          </w:tcPr>
          <w:p>
            <w:pPr>
              <w:pStyle w:val="Compact"/>
              <w:spacing w:before="36" w:after="36"/>
              <w:rPr/>
            </w:pPr>
            <w:r>
              <w:rPr/>
              <w:t>Внешний АЦП (Analog Devices)</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Высокоскоростной SAR ADC ~10-20 МГц</w:t>
            </w:r>
          </w:p>
        </w:tc>
      </w:tr>
      <w:tr>
        <w:trPr/>
        <w:tc>
          <w:tcPr>
            <w:tcW w:w="2728" w:type="dxa"/>
            <w:tcBorders/>
            <w:shd w:color="auto" w:fill="auto" w:val="clear"/>
          </w:tcPr>
          <w:p>
            <w:pPr>
              <w:pStyle w:val="Compact"/>
              <w:spacing w:before="36" w:after="36"/>
              <w:rPr/>
            </w:pPr>
            <w:r>
              <w:rPr/>
              <w:t>Тактовый генератор (кварц 25 МГц)</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опорного такта MCU/ADC</w:t>
            </w:r>
          </w:p>
        </w:tc>
      </w:tr>
      <w:tr>
        <w:trPr/>
        <w:tc>
          <w:tcPr>
            <w:tcW w:w="2728" w:type="dxa"/>
            <w:tcBorders/>
            <w:shd w:color="auto" w:fill="auto" w:val="clear"/>
          </w:tcPr>
          <w:p>
            <w:pPr>
              <w:pStyle w:val="Compact"/>
              <w:spacing w:before="36" w:after="36"/>
              <w:rPr/>
            </w:pPr>
            <w:r>
              <w:rPr/>
              <w:t>Операционный усилитель</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буферизации сигнала входа</w:t>
            </w:r>
          </w:p>
        </w:tc>
      </w:tr>
      <w:tr>
        <w:trPr/>
        <w:tc>
          <w:tcPr>
            <w:tcW w:w="2728" w:type="dxa"/>
            <w:tcBorders/>
            <w:shd w:color="auto" w:fill="auto" w:val="clear"/>
          </w:tcPr>
          <w:p>
            <w:pPr>
              <w:pStyle w:val="Compact"/>
              <w:spacing w:before="36" w:after="36"/>
              <w:rPr/>
            </w:pPr>
            <w:r>
              <w:rPr/>
              <w:t>Источник питания (3.3 В, 5 В)</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Регулируемый стабилизатор</w:t>
            </w:r>
          </w:p>
        </w:tc>
      </w:tr>
      <w:tr>
        <w:trPr/>
        <w:tc>
          <w:tcPr>
            <w:tcW w:w="2728" w:type="dxa"/>
            <w:tcBorders/>
            <w:shd w:color="auto" w:fill="auto" w:val="clear"/>
          </w:tcPr>
          <w:p>
            <w:pPr>
              <w:pStyle w:val="Compact"/>
              <w:spacing w:before="36" w:after="36"/>
              <w:rPr/>
            </w:pPr>
            <w:r>
              <w:rPr/>
              <w:t>Схема ввода/защиты (резистор, диод)</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Защита входа АЦП</w:t>
            </w:r>
          </w:p>
        </w:tc>
      </w:tr>
      <w:tr>
        <w:trPr/>
        <w:tc>
          <w:tcPr>
            <w:tcW w:w="2728" w:type="dxa"/>
            <w:tcBorders/>
            <w:shd w:color="auto" w:fill="auto" w:val="clear"/>
          </w:tcPr>
          <w:p>
            <w:pPr>
              <w:pStyle w:val="Compact"/>
              <w:spacing w:before="36" w:after="36"/>
              <w:rPr/>
            </w:pPr>
            <w:r>
              <w:rPr/>
              <w:t>USB-UART конвертер или Ethernet PHY</w:t>
            </w:r>
          </w:p>
        </w:tc>
        <w:tc>
          <w:tcPr>
            <w:tcW w:w="2008" w:type="dxa"/>
            <w:tcBorders/>
            <w:shd w:color="auto" w:fill="auto" w:val="clear"/>
          </w:tcPr>
          <w:p>
            <w:pPr>
              <w:pStyle w:val="Compact"/>
              <w:spacing w:before="36" w:after="36"/>
              <w:rPr/>
            </w:pPr>
            <w:r>
              <w:rPr/>
              <w:t>по необходимости</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Для передачи данных на ПК</w:t>
            </w:r>
          </w:p>
        </w:tc>
      </w:tr>
      <w:tr>
        <w:trPr/>
        <w:tc>
          <w:tcPr>
            <w:tcW w:w="2728" w:type="dxa"/>
            <w:tcBorders/>
            <w:shd w:color="auto" w:fill="auto" w:val="clear"/>
          </w:tcPr>
          <w:p>
            <w:pPr>
              <w:pStyle w:val="Compact"/>
              <w:spacing w:before="36" w:after="36"/>
              <w:rPr/>
            </w:pPr>
            <w:r>
              <w:rPr/>
              <w:t>Печатная плата (PCB)</w:t>
            </w:r>
          </w:p>
        </w:tc>
        <w:tc>
          <w:tcPr>
            <w:tcW w:w="2008" w:type="dxa"/>
            <w:tcBorders/>
            <w:shd w:color="auto" w:fill="auto" w:val="clear"/>
          </w:tcPr>
          <w:p>
            <w:pPr>
              <w:pStyle w:val="Compact"/>
              <w:spacing w:before="36" w:after="36"/>
              <w:rPr/>
            </w:pPr>
            <w:r>
              <w:rPr/>
              <w:t>1</w:t>
            </w:r>
          </w:p>
        </w:tc>
        <w:tc>
          <w:tcPr>
            <w:tcW w:w="1828" w:type="dxa"/>
            <w:tcBorders/>
            <w:shd w:color="auto" w:fill="auto" w:val="clear"/>
          </w:tcPr>
          <w:p>
            <w:pPr>
              <w:pStyle w:val="Compact"/>
              <w:spacing w:before="36" w:after="36"/>
              <w:rPr/>
            </w:pPr>
            <w:r>
              <w:rPr/>
              <w:t>не указано</w:t>
            </w:r>
          </w:p>
        </w:tc>
        <w:tc>
          <w:tcPr>
            <w:tcW w:w="3006" w:type="dxa"/>
            <w:tcBorders/>
            <w:shd w:color="auto" w:fill="auto" w:val="clear"/>
          </w:tcPr>
          <w:p>
            <w:pPr>
              <w:pStyle w:val="Compact"/>
              <w:spacing w:before="36" w:after="36"/>
              <w:rPr/>
            </w:pPr>
            <w:r>
              <w:rPr/>
              <w:t>Макетная плата с разводкой</w:t>
            </w:r>
          </w:p>
        </w:tc>
      </w:tr>
    </w:tbl>
    <w:p>
      <w:pPr>
        <w:pStyle w:val="BodyText"/>
        <w:rPr/>
      </w:pPr>
      <w:r>
        <w:rPr/>
        <w:t>Источник: составлено автором (цены ориентировочные).</w:t>
      </w:r>
    </w:p>
    <w:p>
      <w:pPr>
        <w:pStyle w:val="BodyText"/>
        <w:rPr>
          <w:highlight w:val="magenta"/>
        </w:rPr>
      </w:pPr>
      <w:r>
        <w:rPr>
          <w:highlight w:val="magenta"/>
        </w:rPr>
        <w:t>Рекомендуемые рисунки (для включения):</w:t>
      </w:r>
    </w:p>
    <w:p>
      <w:pPr>
        <w:pStyle w:val="BodyText"/>
        <w:rPr>
          <w:highlight w:val="magenta"/>
        </w:rPr>
      </w:pPr>
      <w:r>
        <w:rPr>
          <w:i/>
          <w:iCs/>
          <w:highlight w:val="magenta"/>
        </w:rPr>
        <w:t>Блочная схема измерительного тракта:</w:t>
      </w:r>
      <w:r>
        <w:rPr>
          <w:highlight w:val="magenta"/>
        </w:rPr>
        <w:t xml:space="preserve"> входное согласование – АЦП – MCU – интерфейс – ПК.</w:t>
      </w:r>
    </w:p>
    <w:p>
      <w:pPr>
        <w:pStyle w:val="BodyText"/>
        <w:rPr>
          <w:highlight w:val="magenta"/>
        </w:rPr>
      </w:pPr>
      <w:r>
        <w:rPr>
          <w:i/>
          <w:iCs/>
          <w:highlight w:val="magenta"/>
        </w:rPr>
        <w:t>Пример гистограммы сигнала с помехой:</w:t>
      </w:r>
      <w:r>
        <w:rPr>
          <w:highlight w:val="magenta"/>
        </w:rPr>
        <w:t xml:space="preserve"> показ центрального пика и двух боковых (границы размаха).</w:t>
      </w:r>
    </w:p>
    <w:p>
      <w:pPr>
        <w:pStyle w:val="BodyText"/>
        <w:rPr>
          <w:highlight w:val="magenta"/>
        </w:rPr>
      </w:pPr>
      <w:r>
        <w:rPr>
          <w:i/>
          <w:iCs/>
          <w:highlight w:val="magenta"/>
        </w:rPr>
        <w:t>Графики влияния шума:</w:t>
      </w:r>
      <w:r>
        <w:rPr>
          <w:highlight w:val="magenta"/>
        </w:rPr>
        <w:t xml:space="preserve"> например, «погрешность измерения частоты vs SNR» или «амплитуда пика гистограммы vs уровень шума».</w:t>
      </w:r>
    </w:p>
    <w:p>
      <w:pPr>
        <w:pStyle w:val="BodyText"/>
        <w:rPr/>
      </w:pPr>
      <w:r>
        <w:rPr>
          <w:highlight w:val="magenta"/>
        </w:rPr>
        <w:t>(Если есть подходящие иллюстрации, их имеет смысл включить для наглядности.)</w:t>
      </w:r>
    </w:p>
    <w:p>
      <w:pPr>
        <w:pStyle w:val="BodyText"/>
        <w:rPr/>
      </w:pPr>
      <w:r>
        <w:rPr>
          <w:b/>
          <w:bCs/>
        </w:rPr>
        <w:t>Выводы главы:</w:t>
      </w:r>
      <w:r>
        <w:rPr/>
        <w:t xml:space="preserve"> Периодические сигналы широко применяются в радиоэлектронике и требовательны к качеству измерения в условиях шума. Множество методов измерения имеют свои преимущества и недостатки: аналоговые решения дешевы, но ограничены; цифровые даю гибкость, но требуют серьезной ЭВМ и высокой скорости выборки. Выбранный метод – оцифровка высокоскоростным АЦП и гистограммный/цифровой анализ на STM32F407+ПК – обеспечивает баланс «цена/производительность». Он позволяет стабильно извлекать амплитуду и частоту из зашумленного сигнала за счет большого числа отсчетов и мощной обработки. Результаты патентного поиска подтверждают, что эта комбинация аппаратного ускорителя (высокоскоростной АЦП) и программной гибкости – уникальна среди публично известных решений (за исключением лабораторных осциллографов)</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BF%D0%BE%D0%B7%D0%B2%D0%BE%D0%BB%D1%8F%D0%B5%D1%82%20%D1%80%D0%B5%D0%B3%D0%B8%D1%81%D1%82%D1%80%D0%B8%D1%80%D0%BE%D0%B2%D0%B0%D1%82%D1%8C%20%D0%B8%D0%BC%D0%BF%D1%83%D0%BB%D1%8C%D1%81%D0%BD%D1%8B%D0%B5%20%D0%BE%D0%B4%D0%B8%D0%BD%D0%BE%D1%87%D0%BD%D1%8B%D0%B5%20%D1%81%D0%B8%D0%B3%D0%BD%D0%B0%D0%BB%D1%8B"</w:instrText>
      </w:r>
      <w:r>
        <w:rPr>
          <w:rStyle w:val="Hyperlink"/>
        </w:rPr>
        <w:fldChar w:fldCharType="separate"/>
      </w:r>
      <w:r>
        <w:rPr>
          <w:rStyle w:val="Hyperlink"/>
        </w:rPr>
        <w:t>[12]</w:t>
      </w:r>
      <w:r>
        <w:rPr>
          <w:rStyle w:val="Hyperlink"/>
        </w:rPr>
        <w:fldChar w:fldCharType="end"/>
      </w:r>
      <w:r>
        <w:fldChar w:fldCharType="begin"/>
      </w:r>
      <w:r>
        <w:rPr>
          <w:rStyle w:val="Hyperlink"/>
        </w:rPr>
        <w:instrText xml:space="preserve"> HYPERLINK "https://patents.google.com/patent/RU2229139C1/ru" \l ":~:text=%D0%98%D0%B7%D0%BE%D0%B1%D1%80%D0%B5%D1%82%D0%B5%D0%BD%D0%B8%D0%B5%20%D0%BE%D1%82%D0%BD%D0%BE%D1%81%D0%B8%D1%82%D1%81%D1%8F%20%D0%BA%20%D0%BE%D0%B1%D0%BB%D0%B0%D1%81%D1%82%D0%B8%20%D1%86%D0%B8%D1%84%D1%80%D0%BE%D0%B2%D0%BE%D0%B9,%D1%81%D0%B8%D0%B3%D0%BD%D0%B0%D0%BB%20%D0%BF%D1%80%D0%B5%D0%B4%D1%81%D1%82%D0%B0%D0%B2%D0%BB%D0%B5%D0%BD%20%D0%B1%D0%B8%D0%BD%D0%B0%D1%80%D0%BD%D0%BE%D0%B9%20%D0%B7%D0%BE%D0%BD%D0%B4%D0%B8%D1%80%D1%83%D1%8E%D1%89%D0%B5%D0%B9%20%D1%84%D1%83%D0%BD%D0%BA%D1%86%D0%B8%D0%B5%D0%B9"</w:instrText>
      </w:r>
      <w:r>
        <w:rPr>
          <w:rStyle w:val="Hyperlink"/>
        </w:rPr>
        <w:fldChar w:fldCharType="separate"/>
      </w:r>
      <w:r>
        <w:rPr>
          <w:rStyle w:val="Hyperlink"/>
        </w:rPr>
        <w:t>[16]</w:t>
      </w:r>
      <w:r>
        <w:rPr>
          <w:rStyle w:val="Hyperlink"/>
        </w:rPr>
        <w:fldChar w:fldCharType="end"/>
      </w:r>
      <w:r>
        <w:rPr/>
        <w:t>.</w:t>
      </w:r>
    </w:p>
    <w:p>
      <w:pPr>
        <w:pStyle w:val="BodyText"/>
        <w:rPr/>
      </w:pPr>
      <w:r>
        <w:rPr/>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0" w:name="__RefHeading___Toc2169_1929968905"/>
      <w:bookmarkEnd w:id="10"/>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p>
    <w:p>
      <w:pPr>
        <w:pStyle w:val="BodyText"/>
        <w:rPr/>
      </w:pPr>
      <w:r>
        <w:rPr/>
      </w:r>
    </w:p>
    <w:p>
      <w:pPr>
        <w:pStyle w:val="Heading2"/>
        <w:rPr/>
      </w:pPr>
      <w:bookmarkStart w:id="11" w:name="__RefHeading___Toc2171_1929968905"/>
      <w:bookmarkEnd w:id="11"/>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[17]</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[19]</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2" w:name="__RefHeading___Toc2173_1929968905"/>
      <w:bookmarkEnd w:id="12"/>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p>
    <w:p>
      <w:pPr>
        <w:pStyle w:val="BodyText"/>
        <w:rPr/>
      </w:pPr>
      <w:r>
        <w:rPr/>
      </w:r>
    </w:p>
    <w:p>
      <w:pPr>
        <w:pStyle w:val="Heading2"/>
        <w:rPr/>
      </w:pPr>
      <w:bookmarkStart w:id="13" w:name="__RefHeading___Toc2175_1929968905"/>
      <w:bookmarkStart w:id="14" w:name="варианты-реализации-и-сравнение"/>
      <w:bookmarkEnd w:id="13"/>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[17]</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[18]</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[19]</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[19]</w:t>
      </w:r>
      <w:r>
        <w:rPr>
          <w:rStyle w:val="Hyperlink"/>
          <w:i/>
          <w:iCs/>
        </w:rPr>
        <w:fldChar w:fldCharType="end"/>
      </w:r>
      <w:r>
        <w:rPr>
          <w:i/>
          <w:iCs/>
        </w:rPr>
        <w:t>. Указанная система Б (наша) оптимальна по соотношению цена/возможности.</w:t>
      </w:r>
      <w:bookmarkEnd w:id="14"/>
    </w:p>
    <w:p>
      <w:pPr>
        <w:pStyle w:val="BodyText"/>
        <w:rPr/>
      </w:pPr>
      <w:r>
        <w:rPr/>
      </w:r>
    </w:p>
    <w:p>
      <w:pPr>
        <w:pStyle w:val="Heading2"/>
        <w:rPr/>
      </w:pPr>
      <w:bookmarkStart w:id="15" w:name="__RefHeading___Toc2177_1929968905"/>
      <w:bookmarkEnd w:id="15"/>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16"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16"/>
    </w:p>
    <w:p>
      <w:pPr>
        <w:pStyle w:val="BodyText"/>
        <w:rPr/>
      </w:pPr>
      <w:r>
        <w:rPr/>
      </w:r>
    </w:p>
    <w:p>
      <w:pPr>
        <w:pStyle w:val="Heading2"/>
        <w:rPr/>
      </w:pPr>
      <w:bookmarkStart w:id="17" w:name="__RefHeading___Toc2179_1929968905"/>
      <w:bookmarkEnd w:id="17"/>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95">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p>
    <w:p>
      <w:pPr>
        <w:pStyle w:val="BodyText"/>
        <w:rPr/>
      </w:pPr>
      <w:r>
        <w:rPr/>
      </w:r>
    </w:p>
    <w:p>
      <w:pPr>
        <w:pStyle w:val="Heading2"/>
        <w:rPr/>
      </w:pPr>
      <w:bookmarkStart w:id="18" w:name="__RefHeading___Toc2181_1929968905"/>
      <w:bookmarkStart w:id="19" w:name="альтернативы-fft-и-корреляция"/>
      <w:bookmarkEnd w:id="18"/>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[20]</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[21]</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[12]</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19"/>
    </w:p>
    <w:p>
      <w:pPr>
        <w:pStyle w:val="BodyText"/>
        <w:rPr/>
      </w:pPr>
      <w:r>
        <w:rPr/>
      </w:r>
    </w:p>
    <w:p>
      <w:pPr>
        <w:pStyle w:val="Heading2"/>
        <w:rPr/>
      </w:pPr>
      <w:bookmarkStart w:id="20" w:name="__RefHeading___Toc2183_1929968905"/>
      <w:bookmarkStart w:id="21" w:name="план-экспериментальной-проверки-гл.-3"/>
      <w:bookmarkEnd w:id="20"/>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1"/>
    </w:p>
    <w:p>
      <w:pPr>
        <w:pStyle w:val="BodyText"/>
        <w:rPr/>
      </w:pPr>
      <w:r>
        <w:rPr/>
      </w:r>
    </w:p>
    <w:p>
      <w:pPr>
        <w:pStyle w:val="Heading2"/>
        <w:rPr/>
      </w:pPr>
      <w:bookmarkStart w:id="22" w:name="__RefHeading___Toc2185_1929968905"/>
      <w:bookmarkEnd w:id="22"/>
      <w:r>
        <w:rPr/>
        <w:t>2.9</w:t>
      </w:r>
      <w:bookmarkStart w:id="23"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[19]</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3"/>
    </w:p>
    <w:p>
      <w:pPr>
        <w:pStyle w:val="BodyText"/>
        <w:rPr>
          <w:lang w:val="ru-RU"/>
        </w:rPr>
      </w:pPr>
      <w:r>
        <w:rPr>
          <w:lang w:val="ru-RU"/>
        </w:rPr>
      </w:r>
    </w:p>
    <w:p>
      <w:pPr>
        <w:pStyle w:val="BodyText"/>
        <w:rPr>
          <w:lang w:val="ru-RU"/>
        </w:rPr>
      </w:pPr>
      <w:r>
        <w:rPr>
          <w:lang w:val="ru-RU"/>
        </w:rPr>
      </w:r>
      <w:bookmarkStart w:id="24" w:name="__RefHeading___Toc229529024"/>
      <w:bookmarkStart w:id="25" w:name="__RefHeading___Toc229529024"/>
      <w:bookmarkEnd w:id="25"/>
      <w:r>
        <w:br w:type="page"/>
      </w:r>
    </w:p>
    <w:p>
      <w:pPr>
        <w:pStyle w:val="Heading1"/>
        <w:numPr>
          <w:ilvl w:val="0"/>
          <w:numId w:val="1"/>
        </w:numPr>
        <w:spacing w:before="0" w:after="0"/>
        <w:rPr/>
      </w:pPr>
      <w:bookmarkStart w:id="26" w:name="__RefHeading___Toc229529025"/>
      <w:bookmarkEnd w:id="26"/>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приёмниках.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27" w:name="__RefHeading___Toc229529026"/>
      <w:bookmarkEnd w:id="27"/>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ascii="Times New Roman" w:hAnsi="Times New Roman"/>
          <w:b/>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94">
                <wp:simplePos x="0" y="0"/>
                <wp:positionH relativeFrom="column">
                  <wp:posOffset>2861945</wp:posOffset>
                </wp:positionH>
                <wp:positionV relativeFrom="paragraph">
                  <wp:posOffset>-314960</wp:posOffset>
                </wp:positionV>
                <wp:extent cx="666750" cy="295275"/>
                <wp:effectExtent l="5080" t="5080" r="5080" b="5080"/>
                <wp:wrapNone/>
                <wp:docPr id="4"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8"/>
        <w:gridCol w:w="2554"/>
        <w:gridCol w:w="1654"/>
      </w:tblGrid>
      <w:tr>
        <w:trPr/>
        <w:tc>
          <w:tcPr>
            <w:tcW w:w="56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4"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8"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jc w:val="center"/>
        <w:rPr>
          <w:rFonts w:ascii="Times New Roman" w:hAnsi="Times New Roman"/>
          <w:sz w:val="26"/>
          <w:szCs w:val="26"/>
        </w:rPr>
      </w:pPr>
      <w:r>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91">
              <wp:simplePos x="0" y="0"/>
              <wp:positionH relativeFrom="margin">
                <wp:align>center</wp:align>
              </wp:positionH>
              <wp:positionV relativeFrom="paragraph">
                <wp:posOffset>635</wp:posOffset>
              </wp:positionV>
              <wp:extent cx="579755" cy="153670"/>
              <wp:effectExtent l="0" t="0" r="0" b="0"/>
              <wp:wrapNone/>
              <wp:docPr id="5"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8"/>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1629</TotalTime>
  <Application>LibreOffice/24.2.7.2$Linux_X86_64 LibreOffice_project/420$Build-2</Application>
  <AppVersion>15.0000</AppVersion>
  <Pages>49</Pages>
  <Words>8489</Words>
  <Characters>63012</Characters>
  <CharactersWithSpaces>71379</CharactersWithSpaces>
  <Paragraphs>587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2026-06-07T15:15:21Z</dcterms:modified>
  <cp:revision>17</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