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МИНИСТЕРСТВО НАУКИ И ВЫСШЕГО ОБРАЗОВАНИЯ РОССИЙСКОЙ ФЕДЕРАЦИИ</w:t>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b/>
          <w:sz w:val="28"/>
          <w:szCs w:val="28"/>
        </w:rPr>
        <w:t>ВЫПУСКНАЯ КВАЛИФИКАЦИОННАЯ РАБОТА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по направлению </w:t>
      </w:r>
      <w:r>
        <w:rPr>
          <w:rFonts w:ascii="Times new roman" w:hAnsi="Times new roman"/>
          <w:sz w:val="28"/>
          <w:szCs w:val="28"/>
        </w:rPr>
        <w:t>11.04.03 Конструирование и технлогия электронных средств</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направленность </w:t>
      </w:r>
      <w:r>
        <w:rPr>
          <w:rFonts w:ascii="Times new roman" w:hAnsi="Times new roman"/>
          <w:sz w:val="28"/>
          <w:szCs w:val="28"/>
        </w:rPr>
        <w:t>(профиль) Информационные технологии проектирования радиоэлектронных средств и изделий микроэлектроники</w:t>
      </w:r>
    </w:p>
    <w:p>
      <w:pPr>
        <w:pStyle w:val="Normal"/>
        <w:spacing w:lineRule="auto" w:line="240"/>
        <w:jc w:val="center"/>
        <w:rPr>
          <w:rFonts w:ascii="Times new roman" w:hAnsi="Times new roman"/>
          <w:sz w:val="28"/>
          <w:szCs w:val="28"/>
          <w:highlight w:val="yellow"/>
        </w:rPr>
      </w:pPr>
      <w:r>
        <w:rPr>
          <w:rFonts w:ascii="Times new roman" w:hAnsi="Times new roman"/>
          <w:sz w:val="28"/>
          <w:szCs w:val="28"/>
          <w:highlight w:val="yellow"/>
        </w:rPr>
      </w:r>
    </w:p>
    <w:p>
      <w:pPr>
        <w:pStyle w:val="Normal"/>
        <w:spacing w:lineRule="auto" w:line="240"/>
        <w:ind w:hanging="0" w:start="330"/>
        <w:rPr>
          <w:rFonts w:ascii="Times new roman" w:hAnsi="Times new roman"/>
          <w:sz w:val="28"/>
          <w:szCs w:val="28"/>
        </w:rPr>
      </w:pPr>
      <w:r>
        <w:rPr>
          <w:rFonts w:ascii="Times new roman" w:hAnsi="Times new roman"/>
          <w:sz w:val="28"/>
          <w:szCs w:val="28"/>
        </w:rPr>
        <w:t>Студента Остапова Владислава Руслановича</w:t>
        <w:tab/>
        <w:t xml:space="preserve">шифр </w:t>
      </w:r>
      <w:r>
        <w:rPr>
          <w:rFonts w:ascii="Times new roman" w:hAnsi="Times new roman"/>
          <w:sz w:val="28"/>
          <w:szCs w:val="28"/>
        </w:rPr>
        <w:t>245116</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36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t>Тема выпускной квалификационной работы</w:t>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u w:val="single"/>
          <w:lang w:eastAsia="ru-RU"/>
        </w:rPr>
        <w:t>Устройство определения параметров периодических сигналов в условиях помех</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tbl>
      <w:tblPr>
        <w:tblW w:w="9304" w:type="dxa"/>
        <w:jc w:val="start"/>
        <w:tblInd w:w="110" w:type="dxa"/>
        <w:tblLayout w:type="fixed"/>
        <w:tblCellMar>
          <w:top w:w="55" w:type="dxa"/>
          <w:start w:w="55" w:type="dxa"/>
          <w:bottom w:w="55" w:type="dxa"/>
          <w:end w:w="55" w:type="dxa"/>
        </w:tblCellMar>
      </w:tblPr>
      <w:tblGrid>
        <w:gridCol w:w="2554"/>
        <w:gridCol w:w="3114"/>
        <w:gridCol w:w="455"/>
        <w:gridCol w:w="3181"/>
      </w:tblGrid>
      <w:tr>
        <w:trPr>
          <w:trHeight w:val="285" w:hRule="atLeast"/>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Студент</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rHeight w:val="366" w:hRule="atLeast"/>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Научный руководитель</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Нормоконтроль</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Зав. кафедрой</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4"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bl>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9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1.4 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vanish w:val="false"/>
              </w:rPr>
              <w:t>1.5 Существующие подходы к измерению параметров сигналов</w:t>
              <w:tab/>
              <w:t>14</w:t>
            </w:r>
          </w:hyperlink>
        </w:p>
        <w:p>
          <w:pPr>
            <w:pStyle w:val="TOC2"/>
            <w:tabs>
              <w:tab w:val="clear" w:pos="9072"/>
              <w:tab w:val="right" w:pos="9354" w:leader="dot"/>
            </w:tabs>
            <w:rPr/>
          </w:pPr>
          <w:hyperlink w:anchor="__RefHeading___Toc2165_1929968905">
            <w:r>
              <w:rPr>
                <w:webHidden/>
                <w:rStyle w:val="IndexLink"/>
                <w:vanish w:val="false"/>
              </w:rPr>
              <w:t>1.6 Патентный поиск и обзор аналогичных решений</w:t>
              <w:tab/>
              <w:t>19</w:t>
            </w:r>
          </w:hyperlink>
        </w:p>
        <w:p>
          <w:pPr>
            <w:pStyle w:val="TOC2"/>
            <w:tabs>
              <w:tab w:val="clear" w:pos="9072"/>
              <w:tab w:val="right" w:pos="9354" w:leader="dot"/>
            </w:tabs>
            <w:rPr/>
          </w:pPr>
          <w:hyperlink w:anchor="__RefHeading___Toc2167_1929968905">
            <w:r>
              <w:rPr>
                <w:webHidden/>
                <w:rStyle w:val="IndexLink"/>
                <w:vanish w:val="false"/>
              </w:rPr>
              <w:t>8. Рекомендованный объем экспериментальной проверки</w:t>
              <w:tab/>
              <w:t>21</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24</w:t>
            </w:r>
          </w:hyperlink>
        </w:p>
        <w:p>
          <w:pPr>
            <w:pStyle w:val="TOC2"/>
            <w:tabs>
              <w:tab w:val="clear" w:pos="9072"/>
              <w:tab w:val="right" w:pos="9354" w:leader="dot"/>
            </w:tabs>
            <w:rPr/>
          </w:pPr>
          <w:hyperlink w:anchor="__RefHeading___Toc2169_1929968905">
            <w:r>
              <w:rPr>
                <w:webHidden/>
                <w:rStyle w:val="IndexLink"/>
                <w:vanish w:val="false"/>
              </w:rPr>
              <w:t>2.1 Аналоговые методы</w:t>
              <w:tab/>
              <w:t>24</w:t>
            </w:r>
          </w:hyperlink>
        </w:p>
        <w:p>
          <w:pPr>
            <w:pStyle w:val="TOC2"/>
            <w:tabs>
              <w:tab w:val="clear" w:pos="9072"/>
              <w:tab w:val="right" w:pos="9354" w:leader="dot"/>
            </w:tabs>
            <w:rPr/>
          </w:pPr>
          <w:hyperlink w:anchor="__RefHeading___Toc2171_1929968905">
            <w:r>
              <w:rPr>
                <w:webHidden/>
                <w:rStyle w:val="IndexLink"/>
                <w:vanish w:val="false"/>
              </w:rPr>
              <w:t>2.2 Цифровые методы</w:t>
              <w:tab/>
              <w:t>26</w:t>
            </w:r>
          </w:hyperlink>
        </w:p>
        <w:p>
          <w:pPr>
            <w:pStyle w:val="TOC2"/>
            <w:tabs>
              <w:tab w:val="clear" w:pos="9072"/>
              <w:tab w:val="right" w:pos="9354" w:leader="dot"/>
            </w:tabs>
            <w:rPr/>
          </w:pPr>
          <w:hyperlink w:anchor="__RefHeading___Toc2173_1929968905">
            <w:r>
              <w:rPr>
                <w:webHidden/>
                <w:rStyle w:val="IndexLink"/>
                <w:vanish w:val="false"/>
              </w:rPr>
              <w:t>2.3 Сравнительный анализ и патентный поиск</w:t>
              <w:tab/>
              <w:t>29</w:t>
            </w:r>
          </w:hyperlink>
        </w:p>
        <w:p>
          <w:pPr>
            <w:pStyle w:val="TOC2"/>
            <w:tabs>
              <w:tab w:val="clear" w:pos="9072"/>
              <w:tab w:val="right" w:pos="9354" w:leader="dot"/>
            </w:tabs>
            <w:rPr/>
          </w:pPr>
          <w:hyperlink w:anchor="__RefHeading___Toc2175_1929968905">
            <w:r>
              <w:rPr>
                <w:webHidden/>
                <w:rStyle w:val="IndexLink"/>
                <w:vanish w:val="false"/>
              </w:rPr>
              <w:t>2.4 Варианты реализации и сравнение</w:t>
              <w:tab/>
              <w:t>31</w:t>
            </w:r>
          </w:hyperlink>
        </w:p>
        <w:p>
          <w:pPr>
            <w:pStyle w:val="TOC2"/>
            <w:tabs>
              <w:tab w:val="clear" w:pos="9072"/>
              <w:tab w:val="right" w:pos="9354" w:leader="dot"/>
            </w:tabs>
            <w:rPr/>
          </w:pPr>
          <w:hyperlink w:anchor="__RefHeading___Toc2177_1929968905">
            <w:r>
              <w:rPr>
                <w:webHidden/>
                <w:rStyle w:val="IndexLink"/>
                <w:vanish w:val="false"/>
              </w:rPr>
              <w:t>2.5 Реализация подхода на STM32F407</w:t>
              <w:tab/>
              <w:t>33</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34</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36</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37</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38</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40</w:t>
            </w:r>
          </w:hyperlink>
        </w:p>
        <w:p>
          <w:pPr>
            <w:pStyle w:val="TOC1"/>
            <w:tabs>
              <w:tab w:val="clear" w:pos="9345"/>
              <w:tab w:val="right" w:pos="9354" w:leader="dot"/>
            </w:tabs>
            <w:rPr/>
          </w:pPr>
          <w:hyperlink w:anchor="__RefHeading___Toc229529026">
            <w:r>
              <w:rPr>
                <w:webHidden/>
                <w:rStyle w:val="IndexLink"/>
                <w:vanish w:val="false"/>
              </w:rPr>
              <w:t>ПРИЛОЖЕНИЯ</w:t>
              <w:tab/>
              <w:t>43</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00A933" w:val="clear"/>
        </w:rPr>
      </w:pPr>
      <w:bookmarkStart w:id="0" w:name="__RefHeading___Toc229529021"/>
      <w:bookmarkEnd w:id="0"/>
      <w:r>
        <w:rPr>
          <w:shd w:fill="00A933"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highlight w:val="none"/>
          <w:shd w:fill="00A933" w:val="clear"/>
        </w:rPr>
      </w:pPr>
      <w:bookmarkStart w:id="2" w:name="__RefHeading___Toc2155_1929968905"/>
      <w:bookmarkEnd w:id="2"/>
      <w:r>
        <w:rPr>
          <w:shd w:fill="00A933" w:val="clear"/>
        </w:rPr>
        <w:t>1.1 Периодические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 xml:space="preserve">1.2 </w:t>
      </w:r>
      <w:r>
        <w:rPr>
          <w:shd w:fill="00A933" w:val="clear"/>
        </w:rPr>
        <w:t>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00A933" w:val="clear"/>
        </w:rPr>
      </w:pPr>
      <w:bookmarkStart w:id="4" w:name="__RefHeading___Toc2159_1929968905"/>
      <w:bookmarkEnd w:id="4"/>
      <w:r>
        <w:rPr>
          <w:shd w:fill="00A933" w:val="clea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t>Основной тип шума это т</w:t>
      </w:r>
      <w:r>
        <w:rPr>
          <w:b w:val="false"/>
          <w:bCs w:val="false"/>
        </w:rPr>
        <w:t>епловой шум (джонсоновский).</w:t>
      </w:r>
      <w:r>
        <w:rPr/>
        <w:t xml:space="preserve"> Широкополосный шум, генерируемый тепловым движением электронов в резисторах и полупроводниках. Этот тип шума присутствует всегда, вне зависимости от того, включен прибор или нет.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растет. При SNR около 0 дБ погрешность частоты может достигать нескольких процентов (зависит от алгоритма измерения).</w:t>
      </w:r>
    </w:p>
    <w:p>
      <w:pPr>
        <w:pStyle w:val="BodyText"/>
        <w:rPr/>
      </w:pPr>
      <w:r>
        <w:rPr/>
        <w:t xml:space="preserve">Другой тип шума: </w:t>
      </w:r>
      <w:r>
        <w:rPr>
          <w:b w:val="false"/>
          <w:bCs w:val="false"/>
        </w:rPr>
        <w:t>фазовый шум. Он выглядит как к</w:t>
      </w:r>
      <w:r>
        <w:rPr/>
        <w:t>ратковременные флуктуации фазы или времени периодического сигнала. Вызываются нестабильностью генератора, шумом в усилителях, квантованием АЦП и д</w:t>
      </w:r>
      <w:r>
        <w:rPr>
          <w:color w:val="auto"/>
          <w:u w:val="none"/>
        </w:rPr>
        <w:t xml:space="preserve">р. </w:t>
      </w:r>
      <w:r>
        <w:rPr>
          <w:rStyle w:val="Hyperlink"/>
          <w:color w:val="auto"/>
          <w:u w:val="none"/>
        </w:rPr>
        <w:t>[13]</w:t>
      </w:r>
      <w:r>
        <w:rPr>
          <w:color w:val="auto"/>
          <w:u w:val="none"/>
        </w:rPr>
        <w:t>. Фазовый шум приводит к расширению спектральной линии сигнала и нелин</w:t>
      </w:r>
      <w:r>
        <w:rPr/>
        <w:t>ейному изменению частоты во времени; джиттер (колебания фронтов) создает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b w:val="false"/>
          <w:bCs w:val="false"/>
        </w:rPr>
      </w:pPr>
      <w:r>
        <w:rPr/>
        <w:t>Кратковременные высокоамплитудные выбросы (например, от коммутационных переходов, грозовых раз</w:t>
      </w:r>
      <w:r>
        <w:rPr>
          <w:color w:val="auto"/>
          <w:u w:val="none"/>
        </w:rPr>
        <w:t xml:space="preserve">рядов) — это еще один вид помех. Такие помехи называются импульсные. </w:t>
      </w:r>
      <w:r>
        <w:rPr>
          <w:rStyle w:val="Hyperlink"/>
          <w:color w:val="auto"/>
          <w:u w:val="none"/>
        </w:rPr>
        <w:t>[14]</w:t>
      </w:r>
      <w:r>
        <w:rPr>
          <w:color w:val="auto"/>
          <w:u w:val="none"/>
        </w:rPr>
        <w:t>. О</w:t>
      </w:r>
      <w:r>
        <w:rPr/>
        <w:t>ни составляют узкополосную или широкополосную помеху с большим пиковым значением. При приеме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b w:val="false"/>
          <w:bCs w:val="false"/>
        </w:rPr>
      </w:pPr>
      <w:r>
        <w:rPr>
          <w:b w:val="false"/>
          <w:bCs w:val="false"/>
        </w:rPr>
        <w:t>Электромагнитные помехи - узко</w:t>
      </w:r>
      <w:r>
        <w:rPr/>
        <w:t>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val="false"/>
          <w:bCs w:val="false"/>
        </w:rPr>
        <w:t>Другие шумы (слипания, дробовой шум, 1/f-шум и т.д.) реже</w:t>
      </w:r>
      <w:r>
        <w:rPr/>
        <w:t xml:space="preserve">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highlight w:val="none"/>
          <w:shd w:fill="00A933" w:val="clear"/>
        </w:rPr>
      </w:pPr>
      <w:bookmarkStart w:id="5" w:name="__RefHeading___Toc2161_1929968905"/>
      <w:bookmarkEnd w:id="5"/>
      <w:r>
        <w:rPr>
          <w:shd w:fill="00A933" w:val="clear"/>
        </w:rPr>
        <w:t>1.4 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её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pPr>
      <w:bookmarkStart w:id="6" w:name="__RefHeading___Toc2163_1929968905"/>
      <w:bookmarkEnd w:id="6"/>
      <w:r>
        <w:rPr/>
        <w:t>1</w:t>
      </w:r>
      <w:r>
        <w:rPr>
          <w:shd w:fill="800080" w:val="clear"/>
        </w:rPr>
        <w:t>.5 Существующие подходы к</w:t>
      </w:r>
      <w:r>
        <w:rPr/>
        <w:t xml:space="preserve">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w:t>
      </w:r>
      <w:r>
        <w:rPr>
          <w:b w:val="false"/>
          <w:bCs w:val="false"/>
        </w:rPr>
        <w:t>оды</w:t>
      </w:r>
      <w:r>
        <w:rPr>
          <w:b w:val="false"/>
          <w:bCs w:val="false"/>
          <w:lang w:val="en-US"/>
        </w:rPr>
        <w:t>:</w:t>
      </w:r>
    </w:p>
    <w:p>
      <w:pPr>
        <w:pStyle w:val="BodyText"/>
        <w:rPr/>
      </w:pPr>
      <w:r>
        <w:rPr>
          <w:b w:val="false"/>
          <w:bCs w:val="false"/>
        </w:rPr>
        <w:t xml:space="preserve">Компараторы и пороговые детекторы преобразуют входной сигнал в цифровую последовательность импульсов (сигнализации фронтов). Просты по реализации (цена </w:t>
      </w:r>
      <w:r>
        <w:rPr/>
        <w:t>– дешевые ОУ или компараторы), но чувствительны к уровню смещения и шуму (каждый фронт может «дребезжать» из-за шипов). Требуют дополнительной</w:t>
      </w:r>
      <w:r>
        <w:rPr>
          <w:b w:val="false"/>
          <w:bCs w:val="false"/>
          <w:color w:val="auto"/>
          <w:u w:val="none"/>
        </w:rPr>
        <w:t xml:space="preserve"> схемы стабилизации порога. Плюс: просты, работают в реальном времени, не требуют АЦП и ЦП. Минус: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 </w:t>
      </w:r>
      <w:r>
        <w:rPr>
          <w:rStyle w:val="Hyperlink"/>
          <w:b w:val="false"/>
          <w:bCs w:val="false"/>
          <w:color w:val="auto"/>
          <w:u w:val="none"/>
        </w:rPr>
        <w:t>[15]</w:t>
      </w:r>
      <w:r>
        <w:rPr>
          <w:b w:val="false"/>
          <w:bCs w:val="false"/>
          <w:color w:val="auto"/>
          <w:u w:val="none"/>
        </w:rPr>
        <w:t>.</w:t>
      </w:r>
    </w:p>
    <w:p>
      <w:pPr>
        <w:pStyle w:val="BodyText"/>
        <w:rPr/>
      </w:pPr>
      <w:r>
        <w:rPr>
          <w:b w:val="false"/>
          <w:bCs w:val="false"/>
          <w:color w:val="auto"/>
          <w:u w:val="none"/>
        </w:rPr>
        <w:t>Частотомеры (прямой счет): Известный метод – считать число периодов исследуемого сигнала за фиксированный промежуток времени (метод прямого счета). Схема т</w:t>
      </w:r>
      <w:r>
        <w:rPr/>
        <w:t>ипового цифрового частотомера (см. методичку) содержит входное согласующее устройство, формирователь импульсов и счетч</w:t>
      </w:r>
      <w:r>
        <w:rPr>
          <w:color w:val="auto"/>
          <w:u w:val="none"/>
        </w:rPr>
        <w:t xml:space="preserve">ик </w:t>
      </w:r>
      <w:r>
        <w:rPr>
          <w:rStyle w:val="Hyperlink"/>
          <w:color w:val="auto"/>
          <w:u w:val="none"/>
        </w:rPr>
        <w:t>[15]</w:t>
      </w:r>
      <w:r>
        <w:rPr>
          <w:color w:val="auto"/>
          <w:u w:val="none"/>
        </w:rPr>
        <w:t>.</w:t>
      </w:r>
      <w:r>
        <w:rPr/>
        <w:t xml:space="preserve">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Плюс:</w:t>
      </w:r>
      <w:r>
        <w:rPr/>
        <w:t xml:space="preserve"> высокая точность при больших счетных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дает ошибку). Погрешность связана с ограничением разрядности счетчика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счетчику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дает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[9]</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[8]</w:t>
      </w:r>
      <w:r>
        <w:rPr>
          <w:rStyle w:val="Hyperlink"/>
        </w:rPr>
        <w:fldChar w:fldCharType="end"/>
      </w:r>
      <w:r>
        <w:rPr/>
        <w:t xml:space="preserve">. Нужен достаточный набор отсчетов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Приведем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дает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счет)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ведет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pPr>
      <w:r>
        <w:rPr/>
        <w:t xml:space="preserve">Источник: составлено автором на основе принципов из литературы </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w:t>
      </w:r>
    </w:p>
    <w:p>
      <w:pPr>
        <w:pStyle w:val="BodyText"/>
        <w:rPr/>
      </w:pPr>
      <w:r>
        <w:rPr/>
      </w:r>
    </w:p>
    <w:p>
      <w:pPr>
        <w:pStyle w:val="Heading2"/>
        <w:rPr/>
      </w:pPr>
      <w:bookmarkStart w:id="7" w:name="__RefHeading___Toc2165_1929968905"/>
      <w:bookmarkEnd w:id="7"/>
      <w:r>
        <w:rPr/>
        <w:t>1.6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r>
        <w:rPr/>
        <w:t>. Устройство использует операторы умножения и низкочастотные фильтры, выдает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[11]</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 </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xml:space="preserve">. Это снижает время анализа за счет перебора фаз опорного сигнала. Метод позволяет определить частоту и амплитуду гармоник </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[11]</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расчет спектра за счет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8" w:name="__RefHeading___Toc2167_1929968905"/>
      <w:bookmarkEnd w:id="8"/>
      <w:r>
        <w:rPr/>
        <w:t>8. Рекомендованный объем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надежность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дешевы, но ограничены; цифровые даю гибкость, но требуют серьезной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зашумленного сигнала за счет большого числа отсчетов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0" w:name="__RefHeading___Toc2169_1929968905"/>
      <w:bookmarkEnd w:id="10"/>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p>
    <w:p>
      <w:pPr>
        <w:pStyle w:val="BodyText"/>
        <w:rPr/>
      </w:pPr>
      <w:r>
        <w:rPr/>
      </w:r>
    </w:p>
    <w:p>
      <w:pPr>
        <w:pStyle w:val="Heading2"/>
        <w:rPr/>
      </w:pPr>
      <w:bookmarkStart w:id="11" w:name="__RefHeading___Toc2171_1929968905"/>
      <w:bookmarkEnd w:id="11"/>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[17]</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[19]</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2" w:name="__RefHeading___Toc2173_1929968905"/>
      <w:bookmarkEnd w:id="12"/>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p>
    <w:p>
      <w:pPr>
        <w:pStyle w:val="BodyText"/>
        <w:rPr/>
      </w:pPr>
      <w:r>
        <w:rPr/>
      </w:r>
    </w:p>
    <w:p>
      <w:pPr>
        <w:pStyle w:val="Heading2"/>
        <w:rPr/>
      </w:pPr>
      <w:bookmarkStart w:id="13" w:name="__RefHeading___Toc2175_1929968905"/>
      <w:bookmarkStart w:id="14" w:name="варианты-реализации-и-сравнение"/>
      <w:bookmarkEnd w:id="13"/>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[17]</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[18]</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[19]</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[19]</w:t>
      </w:r>
      <w:r>
        <w:rPr>
          <w:rStyle w:val="Hyperlink"/>
          <w:i/>
          <w:iCs/>
        </w:rPr>
        <w:fldChar w:fldCharType="end"/>
      </w:r>
      <w:r>
        <w:rPr>
          <w:i/>
          <w:iCs/>
        </w:rPr>
        <w:t>. Указанная система Б (наша) оптимальна по соотношению цена/возможности.</w:t>
      </w:r>
      <w:bookmarkEnd w:id="14"/>
    </w:p>
    <w:p>
      <w:pPr>
        <w:pStyle w:val="BodyText"/>
        <w:rPr/>
      </w:pPr>
      <w:r>
        <w:rPr/>
      </w:r>
    </w:p>
    <w:p>
      <w:pPr>
        <w:pStyle w:val="Heading2"/>
        <w:rPr/>
      </w:pPr>
      <w:bookmarkStart w:id="15" w:name="__RefHeading___Toc2177_1929968905"/>
      <w:bookmarkEnd w:id="15"/>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16"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16"/>
    </w:p>
    <w:p>
      <w:pPr>
        <w:pStyle w:val="BodyText"/>
        <w:rPr/>
      </w:pPr>
      <w:r>
        <w:rPr/>
      </w:r>
    </w:p>
    <w:p>
      <w:pPr>
        <w:pStyle w:val="Heading2"/>
        <w:rPr/>
      </w:pPr>
      <w:bookmarkStart w:id="17" w:name="__RefHeading___Toc2179_1929968905"/>
      <w:bookmarkEnd w:id="17"/>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5">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p>
    <w:p>
      <w:pPr>
        <w:pStyle w:val="BodyText"/>
        <w:rPr/>
      </w:pPr>
      <w:r>
        <w:rPr/>
      </w:r>
    </w:p>
    <w:p>
      <w:pPr>
        <w:pStyle w:val="Heading2"/>
        <w:rPr/>
      </w:pPr>
      <w:bookmarkStart w:id="18" w:name="__RefHeading___Toc2181_1929968905"/>
      <w:bookmarkStart w:id="19" w:name="альтернативы-fft-и-корреляция"/>
      <w:bookmarkEnd w:id="18"/>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[20]</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[21]</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[12]</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19"/>
    </w:p>
    <w:p>
      <w:pPr>
        <w:pStyle w:val="BodyText"/>
        <w:rPr/>
      </w:pPr>
      <w:r>
        <w:rPr/>
      </w:r>
    </w:p>
    <w:p>
      <w:pPr>
        <w:pStyle w:val="Heading2"/>
        <w:rPr/>
      </w:pPr>
      <w:bookmarkStart w:id="20" w:name="__RefHeading___Toc2183_1929968905"/>
      <w:bookmarkStart w:id="21" w:name="план-экспериментальной-проверки-гл.-3"/>
      <w:bookmarkEnd w:id="20"/>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1"/>
    </w:p>
    <w:p>
      <w:pPr>
        <w:pStyle w:val="BodyText"/>
        <w:rPr/>
      </w:pPr>
      <w:r>
        <w:rPr/>
      </w:r>
    </w:p>
    <w:p>
      <w:pPr>
        <w:pStyle w:val="Heading2"/>
        <w:rPr/>
      </w:pPr>
      <w:bookmarkStart w:id="22" w:name="__RefHeading___Toc2185_1929968905"/>
      <w:bookmarkEnd w:id="22"/>
      <w:r>
        <w:rPr/>
        <w:t>2.9</w:t>
      </w:r>
      <w:bookmarkStart w:id="23"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[19]</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3"/>
    </w:p>
    <w:p>
      <w:pPr>
        <w:pStyle w:val="BodyText"/>
        <w:rPr>
          <w:lang w:val="ru-RU"/>
        </w:rPr>
      </w:pPr>
      <w:r>
        <w:rPr>
          <w:lang w:val="ru-RU"/>
        </w:rPr>
      </w:r>
    </w:p>
    <w:p>
      <w:pPr>
        <w:pStyle w:val="BodyText"/>
        <w:rPr>
          <w:lang w:val="ru-RU"/>
        </w:rPr>
      </w:pPr>
      <w:r>
        <w:rPr>
          <w:lang w:val="ru-RU"/>
        </w:rPr>
      </w:r>
      <w:bookmarkStart w:id="24" w:name="__RefHeading___Toc229529024"/>
      <w:bookmarkStart w:id="25" w:name="__RefHeading___Toc229529024"/>
      <w:bookmarkEnd w:id="25"/>
      <w:r>
        <w:br w:type="page"/>
      </w:r>
    </w:p>
    <w:p>
      <w:pPr>
        <w:pStyle w:val="Heading1"/>
        <w:numPr>
          <w:ilvl w:val="0"/>
          <w:numId w:val="1"/>
        </w:numPr>
        <w:spacing w:before="0" w:after="0"/>
        <w:rPr/>
      </w:pPr>
      <w:bookmarkStart w:id="26" w:name="__RefHeading___Toc229529025"/>
      <w:bookmarkEnd w:id="26"/>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приёмниках.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27" w:name="__RefHeading___Toc229529026"/>
      <w:bookmarkEnd w:id="27"/>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94">
                <wp:simplePos x="0" y="0"/>
                <wp:positionH relativeFrom="column">
                  <wp:posOffset>2861945</wp:posOffset>
                </wp:positionH>
                <wp:positionV relativeFrom="paragraph">
                  <wp:posOffset>-314960</wp:posOffset>
                </wp:positionV>
                <wp:extent cx="666750" cy="295275"/>
                <wp:effectExtent l="5080" t="5080" r="5080" b="5080"/>
                <wp:wrapNone/>
                <wp:docPr id="4"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7"/>
        <w:gridCol w:w="2555"/>
        <w:gridCol w:w="1654"/>
      </w:tblGrid>
      <w:tr>
        <w:trPr/>
        <w:tc>
          <w:tcPr>
            <w:tcW w:w="5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5"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7"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r>
        <w:br w:type="page"/>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w:charset w:val="01"/>
    <w:family w:val="roman"/>
    <w:pitch w:val="default"/>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91">
              <wp:simplePos x="0" y="0"/>
              <wp:positionH relativeFrom="margin">
                <wp:align>center</wp:align>
              </wp:positionH>
              <wp:positionV relativeFrom="paragraph">
                <wp:posOffset>635</wp:posOffset>
              </wp:positionV>
              <wp:extent cx="579755" cy="153670"/>
              <wp:effectExtent l="0" t="0" r="0" b="0"/>
              <wp:wrapNone/>
              <wp:docPr id="5"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49</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49</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8"/>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1637</TotalTime>
  <Application>LibreOffice/24.2.7.2$Linux_X86_64 LibreOffice_project/420$Build-2</Application>
  <AppVersion>15.0000</AppVersion>
  <Pages>49</Pages>
  <Words>8496</Words>
  <Characters>63061</Characters>
  <CharactersWithSpaces>71405</CharactersWithSpaces>
  <Paragraphs>595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2026-06-07T15:55:07Z</dcterms:modified>
  <cp:revision>18</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