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8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vanish w:val="false"/>
              </w:rPr>
              <w:t>Существующие подходы к измерению параметров сигналов</w:t>
              <w:tab/>
              <w:t>12</w:t>
            </w:r>
          </w:hyperlink>
        </w:p>
        <w:p>
          <w:pPr>
            <w:pStyle w:val="TOC2"/>
            <w:tabs>
              <w:tab w:val="clear" w:pos="9072"/>
              <w:tab w:val="right" w:pos="9354" w:leader="dot"/>
            </w:tabs>
            <w:rPr/>
          </w:pPr>
          <w:hyperlink w:anchor="__RefHeading___Toc2165_1929968905">
            <w:r>
              <w:rPr>
                <w:webHidden/>
                <w:rStyle w:val="IndexLink"/>
                <w:vanish w:val="false"/>
              </w:rPr>
              <w:t>1.5 Патентный поиск и обзор аналогичных решений</w:t>
              <w:tab/>
              <w:t>17</w:t>
            </w:r>
          </w:hyperlink>
        </w:p>
        <w:p>
          <w:pPr>
            <w:pStyle w:val="TOC2"/>
            <w:tabs>
              <w:tab w:val="clear" w:pos="9072"/>
              <w:tab w:val="right" w:pos="9354" w:leader="dot"/>
            </w:tabs>
            <w:rPr/>
          </w:pPr>
          <w:hyperlink w:anchor="__RefHeading___Toc2167_1929968905">
            <w:r>
              <w:rPr>
                <w:webHidden/>
                <w:rStyle w:val="IndexLink"/>
                <w:vanish w:val="false"/>
              </w:rPr>
              <w:t>8. Рекомендованный объём экспериментальной проверки</w:t>
              <w:tab/>
              <w:t>19</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22</w:t>
            </w:r>
          </w:hyperlink>
        </w:p>
        <w:p>
          <w:pPr>
            <w:pStyle w:val="TOC2"/>
            <w:tabs>
              <w:tab w:val="clear" w:pos="9072"/>
              <w:tab w:val="right" w:pos="9354" w:leader="dot"/>
            </w:tabs>
            <w:rPr/>
          </w:pPr>
          <w:hyperlink w:anchor="__RefHeading___Toc2169_1929968905">
            <w:r>
              <w:rPr>
                <w:webHidden/>
                <w:rStyle w:val="IndexLink"/>
                <w:vanish w:val="false"/>
              </w:rPr>
              <w:t>2.1 Аналоговые методы</w:t>
              <w:tab/>
              <w:t>22</w:t>
            </w:r>
          </w:hyperlink>
        </w:p>
        <w:p>
          <w:pPr>
            <w:pStyle w:val="TOC2"/>
            <w:tabs>
              <w:tab w:val="clear" w:pos="9072"/>
              <w:tab w:val="right" w:pos="9354" w:leader="dot"/>
            </w:tabs>
            <w:rPr/>
          </w:pPr>
          <w:hyperlink w:anchor="__RefHeading___Toc2171_1929968905">
            <w:r>
              <w:rPr>
                <w:webHidden/>
                <w:rStyle w:val="IndexLink"/>
                <w:vanish w:val="false"/>
              </w:rPr>
              <w:t>2.2 Цифровые методы</w:t>
              <w:tab/>
              <w:t>24</w:t>
            </w:r>
          </w:hyperlink>
        </w:p>
        <w:p>
          <w:pPr>
            <w:pStyle w:val="TOC2"/>
            <w:tabs>
              <w:tab w:val="clear" w:pos="9072"/>
              <w:tab w:val="right" w:pos="9354" w:leader="dot"/>
            </w:tabs>
            <w:rPr/>
          </w:pPr>
          <w:hyperlink w:anchor="__RefHeading___Toc2173_1929968905">
            <w:r>
              <w:rPr>
                <w:webHidden/>
                <w:rStyle w:val="IndexLink"/>
                <w:vanish w:val="false"/>
              </w:rPr>
              <w:t>2.3 Сравнительный анализ и патентный поиск</w:t>
              <w:tab/>
              <w:t>27</w:t>
            </w:r>
          </w:hyperlink>
        </w:p>
        <w:p>
          <w:pPr>
            <w:pStyle w:val="TOC2"/>
            <w:tabs>
              <w:tab w:val="clear" w:pos="9072"/>
              <w:tab w:val="right" w:pos="9354" w:leader="dot"/>
            </w:tabs>
            <w:rPr/>
          </w:pPr>
          <w:hyperlink w:anchor="__RefHeading___Toc2175_1929968905">
            <w:r>
              <w:rPr>
                <w:webHidden/>
                <w:rStyle w:val="IndexLink"/>
                <w:vanish w:val="false"/>
              </w:rPr>
              <w:t>2.4 Варианты реализации и сравнение</w:t>
              <w:tab/>
              <w:t>29</w:t>
            </w:r>
          </w:hyperlink>
        </w:p>
        <w:p>
          <w:pPr>
            <w:pStyle w:val="TOC2"/>
            <w:tabs>
              <w:tab w:val="clear" w:pos="9072"/>
              <w:tab w:val="right" w:pos="9354" w:leader="dot"/>
            </w:tabs>
            <w:rPr/>
          </w:pPr>
          <w:hyperlink w:anchor="__RefHeading___Toc2177_1929968905">
            <w:r>
              <w:rPr>
                <w:webHidden/>
                <w:rStyle w:val="IndexLink"/>
                <w:vanish w:val="false"/>
              </w:rPr>
              <w:t>2.5 Реализация подхода на STM32F407</w:t>
              <w:tab/>
              <w:t>31</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32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34</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35</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36</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38</w:t>
            </w:r>
          </w:hyperlink>
        </w:p>
        <w:p>
          <w:pPr>
            <w:pStyle w:val="TOC1"/>
            <w:tabs>
              <w:tab w:val="clear" w:pos="9345"/>
              <w:tab w:val="right" w:pos="9354" w:leader="dot"/>
            </w:tabs>
            <w:rPr/>
          </w:pPr>
          <w:hyperlink w:anchor="__RefHeading___Toc229529026">
            <w:r>
              <w:rPr>
                <w:webHidden/>
                <w:rStyle w:val="IndexLink"/>
                <w:vanish w:val="false"/>
              </w:rPr>
              <w:t>ПРИЛОЖЕНИЯ</w:t>
              <w:tab/>
              <w:t>39</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81D41A" w:val="clear"/>
        </w:rPr>
      </w:pPr>
      <w:bookmarkStart w:id="0" w:name="__RefHeading___Toc229529021"/>
      <w:bookmarkEnd w:id="0"/>
      <w:r>
        <w:rPr>
          <w:shd w:fill="81D41A"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pPr>
      <w:bookmarkStart w:id="2" w:name="__RefHeading___Toc2155_1929968905"/>
      <w:bookmarkEnd w:id="2"/>
      <w:r>
        <w:rPr>
          <w:shd w:fill="auto" w:val="clear"/>
        </w:rPr>
        <w:t>1.1 Периодичес</w:t>
      </w:r>
      <w:r>
        <w:rPr/>
        <w:t>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 xml:space="preserve">при любом t </w:t>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Простейшая форма – гармоническое (синусоидальное) колебание с амплитудой A и частотой f=1/T </w:t>
      </w:r>
      <w:r>
        <w:fldChar w:fldCharType="begin"/>
      </w:r>
      <w:r>
        <w:rPr>
          <w:rStyle w:val="Hyperlink"/>
        </w:rPr>
        <w:instrText xml:space="preserve"> HYPERLINK "https://studfile.net/preview/7013044/page:2/" \l ":~: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w:instrText>
      </w:r>
      <w:r>
        <w:rPr>
          <w:rStyle w:val="Hyperlink"/>
        </w:rPr>
        <w:fldChar w:fldCharType="separate"/>
      </w:r>
      <w:r>
        <w:rPr>
          <w:rStyle w:val="Hyperlink"/>
        </w:rPr>
        <w:t>[4]</w:t>
      </w:r>
      <w:r>
        <w:rPr>
          <w:rStyle w:val="Hyperlink"/>
        </w:rPr>
        <w:fldChar w:fldCharType="end"/>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rPr/>
        <w:t xml:space="preserve"> позволяет разложить любой периодический сигнал в ряд синусоид с частотами n/T </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точностью</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1.2 Области применения и практическая значимость</w:t>
      </w:r>
    </w:p>
    <w:p>
      <w:pPr>
        <w:pStyle w:val="BodyText"/>
        <w:rPr/>
      </w:pPr>
      <w:r>
        <w:rPr>
          <w:b/>
          <w:bCs/>
        </w:rPr>
        <w:t>Телекоммуникации:</w:t>
      </w:r>
      <w:r>
        <w:rP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Тайминговые сигналы (тактовые или синхросигналы) – прямоугольные волны – «сердце» цифровых каналов</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b/>
          <w:bCs/>
        </w:rPr>
        <w:t>Радиолокация и радионавигация:</w:t>
      </w:r>
      <w:r>
        <w:rP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 Надежная оценка частоты/фазы сигналов обеспечивает высокую точность позиционирования в навигации.</w:t>
      </w:r>
    </w:p>
    <w:p>
      <w:pPr>
        <w:pStyle w:val="BodyText"/>
        <w:rPr/>
      </w:pPr>
      <w:r>
        <w:rPr>
          <w:b/>
          <w:bCs/>
        </w:rPr>
        <w:t>Медицина и биосигналы:</w:t>
      </w:r>
      <w:r>
        <w:rP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b/>
          <w:bCs/>
        </w:rPr>
        <w:t>Промышленное управление и автоматика:</w:t>
      </w:r>
      <w:r>
        <w:rP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b/>
          <w:bCs/>
        </w:rPr>
        <w:t>Контрольно-измерительная аппаратура:</w:t>
      </w:r>
      <w:r>
        <w:rP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 </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rPr/>
        <w:t>) делает актуальной разработку компактных цифровых измерителей параметров сигнала.</w:t>
      </w:r>
    </w:p>
    <w:p>
      <w:pPr>
        <w:pStyle w:val="BodyText"/>
        <w:rPr/>
      </w:pPr>
      <w:r>
        <w:rPr/>
      </w:r>
    </w:p>
    <w:p>
      <w:pPr>
        <w:pStyle w:val="Heading2"/>
        <w:rPr/>
      </w:pPr>
      <w:bookmarkStart w:id="4" w:name="__RefHeading___Toc2159_1929968905"/>
      <w:bookmarkEnd w:id="4"/>
      <w: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b/>
          <w:bCs/>
        </w:rPr>
        <w:t>Тепловой шум (джонсоновский):</w:t>
      </w:r>
      <w:r>
        <w:rP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b/>
          <w:bCs/>
        </w:rPr>
        <w:t>Фазовый шум и джиттер:</w:t>
      </w:r>
      <w:r>
        <w:rPr/>
        <w:t xml:space="preserve"> Кратковременные флуктуации фазы или времени периодического сигнала. Вызываются нестабильностью генератора, шумом в усилителях, квантованием АЦП и др. </w:t>
      </w:r>
      <w:r>
        <w:fldChar w:fldCharType="begin"/>
      </w:r>
      <w:r>
        <w:rPr>
          <w:rStyle w:val="Hyperlink"/>
        </w:rPr>
        <w:instrText xml:space="preserve"> HYPERLINK "https://srns.ru/images/c/ce/20140623_%D0%A1%D0%B5%D1%80%D0%B3%D0%B5%D0%B5%D0%B2_%D0%9D.%D0%98.%D0%B1%D0%B0%D0%BA%D0%B0%D0%BB%D0%B0%D0%B2%D1%80%D1%81%D0%BA%D0%B0%D1%8F_%D1%80%D0%B0%D0%B1%D0%BE%D1%82%D0%B0.pdf" \l ":~: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w:instrText>
      </w:r>
      <w:r>
        <w:rPr>
          <w:rStyle w:val="Hyperlink"/>
        </w:rPr>
        <w:fldChar w:fldCharType="separate"/>
      </w:r>
      <w:r>
        <w:rPr>
          <w:rStyle w:val="Hyperlink"/>
        </w:rPr>
        <w:t>[8]</w:t>
      </w:r>
      <w:r>
        <w:rPr>
          <w:rStyle w:val="Hyperlink"/>
        </w:rPr>
        <w:fldChar w:fldCharType="end"/>
      </w:r>
      <w:r>
        <w:rPr/>
        <w:t>. Фазовый шум приводит к расширению спектральной линии сигнала и нелинейному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pPr>
      <w:r>
        <w:rPr>
          <w:b/>
          <w:bCs/>
        </w:rPr>
        <w:t>Импульсные помехи:</w:t>
      </w:r>
      <w:r>
        <w:rPr/>
        <w:t xml:space="preserve"> Кратковременные высокоамплитудные выбросы (например, от коммутационных переходов, грозовых разрядов)</w:t>
      </w:r>
      <w:r>
        <w:fldChar w:fldCharType="begin"/>
      </w:r>
      <w:r>
        <w:rPr>
          <w:rStyle w:val="Hyperlink"/>
        </w:rPr>
        <w:instrText xml:space="preserve"> HYPERLINK "https://studfile.net/preview/7190937/page:26/" \l ":~: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w:instrText>
      </w:r>
      <w:r>
        <w:rPr>
          <w:rStyle w:val="Hyperlink"/>
        </w:rPr>
        <w:fldChar w:fldCharType="separate"/>
      </w:r>
      <w:r>
        <w:rPr>
          <w:rStyle w:val="Hyperlink"/>
        </w:rPr>
        <w:t>[9]</w:t>
      </w:r>
      <w:r>
        <w:rPr>
          <w:rStyle w:val="Hyperlink"/>
        </w:rPr>
        <w:fldChar w:fldCharType="end"/>
      </w:r>
      <w:r>
        <w:rPr/>
        <w:t>. Они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pPr>
      <w:r>
        <w:rPr>
          <w:b/>
          <w:bCs/>
        </w:rPr>
        <w:t>Электромагнитные помехи (ЭМИ):</w:t>
      </w:r>
      <w:r>
        <w:rP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bCs/>
        </w:rPr>
        <w:t>Другие шумы (слипания, дробовой шум, 1/f-шум и т.д.):</w:t>
      </w:r>
      <w:r>
        <w:rPr/>
        <w:t xml:space="preserve"> 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pPr>
      <w:bookmarkStart w:id="5" w:name="__RefHeading___Toc2161_1929968905"/>
      <w:bookmarkStart w:id="6" w:name="критерии-и-метрики-сравнения-методов"/>
      <w:bookmarkEnd w:id="5"/>
      <w:r>
        <w:rPr/>
        <w:t>Критерии и метрики сравнения методов</w:t>
      </w:r>
    </w:p>
    <w:p>
      <w:pPr>
        <w:pStyle w:val="BodyText"/>
        <w:rPr/>
      </w:pPr>
      <w:r>
        <w:rPr/>
        <w:t>Для объективной оценки методов введем следующие критерии:</w:t>
      </w:r>
    </w:p>
    <w:p>
      <w:pPr>
        <w:pStyle w:val="BodyText"/>
        <w:rPr/>
      </w:pPr>
      <w:r>
        <w:rPr>
          <w:b/>
          <w:bCs/>
        </w:rPr>
        <w:t>- Сложность разработки:</w:t>
      </w:r>
      <w:r>
        <w:rPr/>
        <w:t xml:space="preserve"> 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p>
    <w:p>
      <w:pPr>
        <w:pStyle w:val="BodyText"/>
        <w:rPr/>
      </w:pPr>
      <w:r>
        <w:rPr>
          <w:b/>
          <w:bCs/>
        </w:rPr>
        <w:t>- Стоимость компонентов:</w:t>
      </w:r>
      <w:r>
        <w:rPr/>
        <w:t xml:space="preserve"> цена всех комплектующих, за исключением печатных плат и базовых компонентов (резисторы, конденсаторы, керамические резонаторы и прочие компоненты с пренебрежительно маленькой стоимостью) (народное – «рассыпуха»);</w:t>
      </w:r>
    </w:p>
    <w:p>
      <w:pPr>
        <w:pStyle w:val="BodyText"/>
        <w:rPr/>
      </w:pPr>
      <w:r>
        <w:rPr>
          <w:b/>
          <w:bCs/>
        </w:rPr>
        <w:t>- Возможности обработки:</w:t>
      </w:r>
      <w:r>
        <w:rPr/>
        <w:t xml:space="preserve"> какие параметры сигнала можно измерить (амплитуда, частота, фаза, форма), доступность модификации алгоритмов;</w:t>
      </w:r>
    </w:p>
    <w:p>
      <w:pPr>
        <w:pStyle w:val="BodyText"/>
        <w:rPr/>
      </w:pPr>
      <w:r>
        <w:rPr>
          <w:b/>
          <w:bCs/>
        </w:rPr>
        <w:t>- Точность и разрешающая способность при шуме:</w:t>
      </w:r>
      <w:r>
        <w:rPr/>
        <w:t xml:space="preserve"> погрешность измерения амплитуды/частоты при заданном уровне шума (SNR);</w:t>
      </w:r>
    </w:p>
    <w:p>
      <w:pPr>
        <w:pStyle w:val="BodyText"/>
        <w:rPr/>
      </w:pPr>
      <w:r>
        <w:rPr>
          <w:b/>
          <w:bCs/>
        </w:rPr>
        <w:t>- Время реакции:</w:t>
      </w:r>
      <w:r>
        <w:rPr/>
        <w:t xml:space="preserve"> задержка системы и скорость измерений (важно для динамических сигналов);</w:t>
      </w:r>
      <w:bookmarkEnd w:id="6"/>
    </w:p>
    <w:p>
      <w:pPr>
        <w:pStyle w:val="BodyText"/>
        <w:rPr>
          <w:lang w:val="ru-RU" w:eastAsia="en-US"/>
        </w:rPr>
      </w:pPr>
      <w:r>
        <w:rPr>
          <w:lang w:val="ru-RU" w:eastAsia="en-US"/>
        </w:rPr>
      </w:r>
    </w:p>
    <w:p>
      <w:pPr>
        <w:pStyle w:val="Heading2"/>
        <w:rPr/>
      </w:pPr>
      <w:bookmarkStart w:id="7" w:name="__RefHeading___Toc2163_1929968905"/>
      <w:bookmarkEnd w:id="7"/>
      <w:r>
        <w:rPr/>
        <w:t>Существующие подходы к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подходы</w:t>
      </w:r>
      <w:r>
        <w:rPr>
          <w:lang w:val="en-US"/>
        </w:rPr>
        <w:t>:</w:t>
      </w:r>
    </w:p>
    <w:p>
      <w:pPr>
        <w:pStyle w:val="BodyText"/>
        <w:rPr/>
      </w:pPr>
      <w:bookmarkStart w:id="8" w:name="аналоговые-методы"/>
      <w:r>
        <w:rPr>
          <w:b/>
          <w:bCs/>
        </w:rPr>
        <w:t>Компараторы и пороговые детекторы</w:t>
      </w:r>
      <w:r>
        <w:rPr/>
        <w:t xml:space="preserve"> преобразуют входной сигнал в цифровую последовательность импульсов (сигнализации фронтов). Просты по реализации (цена – дешевые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rPr/>
        <w:t xml:space="preserve"> просты, работают в реальном времени, не требуют АЦП и ЦП. </w:t>
      </w:r>
      <w:r>
        <w:rPr>
          <w:b/>
          <w:bCs/>
        </w:rPr>
        <w:t>Минус:</w:t>
      </w:r>
      <w:r>
        <w:rP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rPr/>
        <w:t>.</w:t>
      </w:r>
    </w:p>
    <w:p>
      <w:pPr>
        <w:pStyle w:val="BodyText"/>
        <w:rPr/>
      </w:pPr>
      <w:r>
        <w:rPr>
          <w:b/>
          <w:bCs/>
        </w:rPr>
        <w:t>Частотомеры (прямой счет):</w:t>
      </w:r>
      <w:r>
        <w:rPr/>
        <w:t xml:space="preserve"> Известный метод – считать число периодов исследуемого сигнала за фиксированный промежуток времени (метод прямого счета)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Схема типового цифрового частотомера (см. методичку) содержит входное согласующее устройство, формирователь импульсов и счетчик</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bookmarkEnd w:id="8"/>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lang w:val="ru-RU"/>
        </w:rPr>
      </w:pPr>
      <w:r>
        <w:rPr>
          <w:lang w:val="ru-RU"/>
        </w:rPr>
      </w:r>
    </w:p>
    <w:p>
      <w:pPr>
        <w:pStyle w:val="BodyText"/>
        <w:rPr/>
      </w:pPr>
      <w:r>
        <w:rPr/>
        <w:t>Источник: составлено автором на основе принципов из литературы</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w:t>
      </w:r>
    </w:p>
    <w:p>
      <w:pPr>
        <w:pStyle w:val="BodyText"/>
        <w:rPr/>
      </w:pPr>
      <w:r>
        <w:rPr/>
      </w:r>
    </w:p>
    <w:p>
      <w:pPr>
        <w:pStyle w:val="Heading2"/>
        <w:rPr/>
      </w:pPr>
      <w:bookmarkStart w:id="9" w:name="__RefHeading___Toc2165_1929968905"/>
      <w:bookmarkEnd w:id="9"/>
      <w:r>
        <w:rPr/>
        <w:t>1.5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[15]</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Это снижает время анализа за счет перебора фаз опорного сигнала. Метод позволяет определить частоту и амплитуду гармоник</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10" w:name="__RefHeading___Toc2167_1929968905"/>
      <w:bookmarkEnd w:id="10"/>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11" w:name="__RefHeading___Toc229529023"/>
      <w:bookmarkEnd w:id="11"/>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2" w:name="__RefHeading___Toc2169_1929968905"/>
      <w:bookmarkStart w:id="13" w:name="аналоговые-методы_Copy_1"/>
      <w:bookmarkEnd w:id="12"/>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bookmarkEnd w:id="13"/>
    </w:p>
    <w:p>
      <w:pPr>
        <w:pStyle w:val="BodyText"/>
        <w:rPr/>
      </w:pPr>
      <w:r>
        <w:rPr/>
      </w:r>
    </w:p>
    <w:p>
      <w:pPr>
        <w:pStyle w:val="Heading2"/>
        <w:rPr/>
      </w:pPr>
      <w:bookmarkStart w:id="14" w:name="__RefHeading___Toc2171_1929968905"/>
      <w:bookmarkEnd w:id="14"/>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[3]</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[4]</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5" w:name="__RefHeading___Toc2173_1929968905"/>
      <w:bookmarkStart w:id="16" w:name="сравнительный-анализ-и-патентный-поиск"/>
      <w:bookmarkEnd w:id="15"/>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bookmarkEnd w:id="16"/>
    </w:p>
    <w:p>
      <w:pPr>
        <w:pStyle w:val="BodyText"/>
        <w:rPr/>
      </w:pPr>
      <w:r>
        <w:rPr/>
      </w:r>
    </w:p>
    <w:p>
      <w:pPr>
        <w:pStyle w:val="Heading2"/>
        <w:rPr/>
      </w:pPr>
      <w:bookmarkStart w:id="17" w:name="__RefHeading___Toc2175_1929968905"/>
      <w:bookmarkStart w:id="18" w:name="варианты-реализации-и-сравнение"/>
      <w:bookmarkEnd w:id="17"/>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[3]</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[4]</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[4]</w:t>
      </w:r>
      <w:r>
        <w:rPr>
          <w:rStyle w:val="Hyperlink"/>
          <w:i/>
          <w:iCs/>
        </w:rPr>
        <w:fldChar w:fldCharType="end"/>
      </w:r>
      <w:r>
        <w:rPr>
          <w:i/>
          <w:iCs/>
        </w:rPr>
        <w:t>. Указанная система Б (наша) оптимальна по соотношению цена/возможности.</w:t>
      </w:r>
      <w:bookmarkEnd w:id="18"/>
    </w:p>
    <w:p>
      <w:pPr>
        <w:pStyle w:val="BodyText"/>
        <w:rPr/>
      </w:pPr>
      <w:r>
        <w:rPr/>
      </w:r>
    </w:p>
    <w:p>
      <w:pPr>
        <w:pStyle w:val="Heading2"/>
        <w:rPr/>
      </w:pPr>
      <w:bookmarkStart w:id="19" w:name="__RefHeading___Toc2177_1929968905"/>
      <w:bookmarkEnd w:id="19"/>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[3]</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20"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20"/>
    </w:p>
    <w:p>
      <w:pPr>
        <w:pStyle w:val="BodyText"/>
        <w:rPr/>
      </w:pPr>
      <w:r>
        <w:rPr/>
      </w:r>
    </w:p>
    <w:p>
      <w:pPr>
        <w:pStyle w:val="Heading2"/>
        <w:rPr/>
      </w:pPr>
      <w:bookmarkStart w:id="21" w:name="__RefHeading___Toc2179_1929968905"/>
      <w:bookmarkEnd w:id="21"/>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[12]</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1">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bookmarkStart w:id="22" w:name="Xf64c5f9ab45e54f798af10260ebac52a5e30d58"/>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bookmarkEnd w:id="22"/>
    </w:p>
    <w:p>
      <w:pPr>
        <w:pStyle w:val="BodyText"/>
        <w:rPr/>
      </w:pPr>
      <w:r>
        <w:rPr/>
      </w:r>
    </w:p>
    <w:p>
      <w:pPr>
        <w:pStyle w:val="Heading2"/>
        <w:rPr/>
      </w:pPr>
      <w:bookmarkStart w:id="23" w:name="__RefHeading___Toc2181_1929968905"/>
      <w:bookmarkStart w:id="24" w:name="альтернативы-fft-и-корреляция"/>
      <w:bookmarkEnd w:id="23"/>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[7]</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[8]</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[6]</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24"/>
    </w:p>
    <w:p>
      <w:pPr>
        <w:pStyle w:val="BodyText"/>
        <w:rPr/>
      </w:pPr>
      <w:r>
        <w:rPr/>
      </w:r>
    </w:p>
    <w:p>
      <w:pPr>
        <w:pStyle w:val="Heading2"/>
        <w:rPr/>
      </w:pPr>
      <w:bookmarkStart w:id="25" w:name="__RefHeading___Toc2183_1929968905"/>
      <w:bookmarkStart w:id="26" w:name="план-экспериментальной-проверки-гл.-3"/>
      <w:bookmarkEnd w:id="25"/>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6"/>
    </w:p>
    <w:p>
      <w:pPr>
        <w:pStyle w:val="BodyText"/>
        <w:rPr/>
      </w:pPr>
      <w:r>
        <w:rPr/>
      </w:r>
    </w:p>
    <w:p>
      <w:pPr>
        <w:pStyle w:val="Heading2"/>
        <w:rPr/>
      </w:pPr>
      <w:bookmarkStart w:id="27" w:name="__RefHeading___Toc2185_1929968905"/>
      <w:bookmarkEnd w:id="27"/>
      <w:r>
        <w:rPr/>
        <w:t>2.9</w:t>
      </w:r>
      <w:bookmarkStart w:id="28"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[12]</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[13]</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8"/>
    </w:p>
    <w:p>
      <w:pPr>
        <w:pStyle w:val="BodyText"/>
        <w:rPr>
          <w:lang w:val="ru-RU"/>
        </w:rPr>
      </w:pPr>
      <w:r>
        <w:rPr>
          <w:lang w:val="ru-RU"/>
        </w:rPr>
      </w:r>
    </w:p>
    <w:p>
      <w:pPr>
        <w:pStyle w:val="BodyText"/>
        <w:rPr>
          <w:lang w:val="ru-RU"/>
        </w:rPr>
      </w:pPr>
      <w:r>
        <w:rPr>
          <w:lang w:val="ru-RU"/>
        </w:rPr>
      </w:r>
      <w:bookmarkStart w:id="29" w:name="__RefHeading___Toc229529024"/>
      <w:bookmarkStart w:id="30" w:name="__RefHeading___Toc229529024"/>
      <w:bookmarkEnd w:id="30"/>
      <w:r>
        <w:br w:type="page"/>
      </w:r>
    </w:p>
    <w:p>
      <w:pPr>
        <w:pStyle w:val="Heading1"/>
        <w:numPr>
          <w:ilvl w:val="0"/>
          <w:numId w:val="1"/>
        </w:numPr>
        <w:spacing w:before="0" w:after="0"/>
        <w:rPr/>
      </w:pPr>
      <w:bookmarkStart w:id="31" w:name="__RefHeading___Toc229529025"/>
      <w:bookmarkEnd w:id="31"/>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https://uwbs.ru/developme</w:t>
      </w:r>
      <w:r>
        <w:rPr/>
        <w:t>nt/example-measurements/</w:t>
      </w:r>
      <w:r>
        <w:br w:type="page"/>
      </w:r>
    </w:p>
    <w:p>
      <w:pPr>
        <w:pStyle w:val="Normal"/>
        <w:shd w:val="clear" w:color="auto" w:fill="FFFFFF"/>
        <w:spacing w:lineRule="auto" w:line="240" w:before="0" w:after="0"/>
        <w:ind w:hanging="0"/>
        <w:rPr>
          <w:rFonts w:ascii="Times New Roman" w:hAnsi="Times New Roman"/>
          <w:sz w:val="28"/>
          <w:szCs w:val="28"/>
        </w:rPr>
      </w:pPr>
      <w:r>
        <w:rPr>
          <w:rFonts w:ascii="Times New Roman" w:hAnsi="Times New Roman"/>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mc:AlternateContent>
          <mc:Choice Requires="wps">
            <w:drawing>
              <wp:anchor behindDoc="0" distT="5080" distB="5080" distL="5080" distR="5080" simplePos="0" locked="0" layoutInCell="1" allowOverlap="1" relativeHeight="87">
                <wp:simplePos x="0" y="0"/>
                <wp:positionH relativeFrom="column">
                  <wp:posOffset>2840355</wp:posOffset>
                </wp:positionH>
                <wp:positionV relativeFrom="paragraph">
                  <wp:posOffset>-598170</wp:posOffset>
                </wp:positionV>
                <wp:extent cx="680085" cy="248920"/>
                <wp:effectExtent l="5080" t="5080" r="5080" b="5080"/>
                <wp:wrapNone/>
                <wp:docPr id="4" name="Прямоугольник 39"/>
                <a:graphic xmlns:a="http://schemas.openxmlformats.org/drawingml/2006/main">
                  <a:graphicData uri="http://schemas.microsoft.com/office/word/2010/wordprocessingShape">
                    <wps:wsp>
                      <wps:cNvSpPr/>
                      <wps:spPr>
                        <a:xfrm>
                          <a:off x="0" y="0"/>
                          <a:ext cx="680040" cy="2487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9" path="m0,0l-2147483645,0l-2147483645,-2147483646l0,-2147483646xe" fillcolor="white" stroked="t" o:allowincell="f" style="position:absolute;margin-left:223.65pt;margin-top:-47.1pt;width:53.5pt;height:19.55pt;mso-wrap-style:none;v-text-anchor:middle">
                <v:fill o:detectmouseclick="t" type="solid" color2="black"/>
                <v:stroke color="white" weight="9360" joinstyle="round" endcap="flat"/>
                <w10:wrap type="none"/>
              </v:rect>
            </w:pict>
          </mc:Fallback>
        </mc:AlternateConten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32" w:name="__RefHeading___Toc229529026"/>
      <w:bookmarkEnd w:id="32"/>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5080" distB="5080" distL="5080" distR="5080" simplePos="0" locked="0" layoutInCell="1" allowOverlap="1" relativeHeight="84">
                <wp:simplePos x="0" y="0"/>
                <wp:positionH relativeFrom="column">
                  <wp:posOffset>2739390</wp:posOffset>
                </wp:positionH>
                <wp:positionV relativeFrom="paragraph">
                  <wp:posOffset>-750570</wp:posOffset>
                </wp:positionV>
                <wp:extent cx="970915" cy="400050"/>
                <wp:effectExtent l="5080" t="5080" r="5080" b="5080"/>
                <wp:wrapNone/>
                <wp:docPr id="5" name="Прямоугольник 38"/>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8" path="m0,0l-2147483645,0l-2147483645,-2147483646l0,-2147483646xe"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5080" distB="5080" distL="5080" distR="5080" simplePos="0" locked="0" layoutInCell="1" allowOverlap="1" relativeHeight="85">
                <wp:simplePos x="0" y="0"/>
                <wp:positionH relativeFrom="column">
                  <wp:posOffset>2653665</wp:posOffset>
                </wp:positionH>
                <wp:positionV relativeFrom="paragraph">
                  <wp:posOffset>-632460</wp:posOffset>
                </wp:positionV>
                <wp:extent cx="970915" cy="400050"/>
                <wp:effectExtent l="5080" t="5080" r="5080" b="5080"/>
                <wp:wrapNone/>
                <wp:docPr id="6" name="Прямоугольник 37"/>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7" path="m0,0l-2147483645,0l-2147483645,-2147483646l0,-2147483646xe"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5080" distB="5080" distL="5080" distR="5080" simplePos="0" locked="0" layoutInCell="1" allowOverlap="1" relativeHeight="86">
                <wp:simplePos x="0" y="0"/>
                <wp:positionH relativeFrom="column">
                  <wp:posOffset>3310890</wp:posOffset>
                </wp:positionH>
                <wp:positionV relativeFrom="paragraph">
                  <wp:posOffset>-706755</wp:posOffset>
                </wp:positionV>
                <wp:extent cx="970915" cy="400050"/>
                <wp:effectExtent l="5080" t="5080" r="5080" b="5080"/>
                <wp:wrapNone/>
                <wp:docPr id="7" name="Прямоугольник 36"/>
                <a:graphic xmlns:a="http://schemas.openxmlformats.org/drawingml/2006/main">
                  <a:graphicData uri="http://schemas.microsoft.com/office/word/2010/wordprocessingShape">
                    <wps:wsp>
                      <wps:cNvSpPr/>
                      <wps:spPr>
                        <a:xfrm>
                          <a:off x="0" y="0"/>
                          <a:ext cx="970920" cy="39996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6" path="m0,0l-2147483645,0l-2147483645,-2147483646l0,-2147483646xe"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5080" distB="5080" distL="5080" distR="5080" simplePos="0" locked="0" layoutInCell="1" allowOverlap="1" relativeHeight="89">
                <wp:simplePos x="0" y="0"/>
                <wp:positionH relativeFrom="column">
                  <wp:posOffset>2823845</wp:posOffset>
                </wp:positionH>
                <wp:positionV relativeFrom="paragraph">
                  <wp:posOffset>-438785</wp:posOffset>
                </wp:positionV>
                <wp:extent cx="666750" cy="295275"/>
                <wp:effectExtent l="5080" t="5080" r="5080" b="5080"/>
                <wp:wrapNone/>
                <wp:docPr id="8" name="Прямоугольник 35"/>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5" path="m0,0l-2147483645,0l-2147483645,-2147483646l0,-2147483646xe"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0">
                <wp:simplePos x="0" y="0"/>
                <wp:positionH relativeFrom="column">
                  <wp:posOffset>2861945</wp:posOffset>
                </wp:positionH>
                <wp:positionV relativeFrom="paragraph">
                  <wp:posOffset>-314960</wp:posOffset>
                </wp:positionV>
                <wp:extent cx="666750" cy="295275"/>
                <wp:effectExtent l="5080" t="5080" r="5080" b="5080"/>
                <wp:wrapNone/>
                <wp:docPr id="9"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1"/>
        <w:gridCol w:w="2551"/>
        <w:gridCol w:w="1654"/>
      </w:tblGrid>
      <w:tr>
        <w:trPr/>
        <w:tc>
          <w:tcPr>
            <w:tcW w:w="561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1"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5080" distB="5080" distL="5080" distR="5080" simplePos="0" locked="0" layoutInCell="1" allowOverlap="1" relativeHeight="88">
                <wp:simplePos x="0" y="0"/>
                <wp:positionH relativeFrom="column">
                  <wp:posOffset>2596515</wp:posOffset>
                </wp:positionH>
                <wp:positionV relativeFrom="paragraph">
                  <wp:posOffset>-415925</wp:posOffset>
                </wp:positionV>
                <wp:extent cx="1257300" cy="352425"/>
                <wp:effectExtent l="5080" t="5080" r="5080" b="5080"/>
                <wp:wrapNone/>
                <wp:docPr id="10" name="Прямоугольник 33"/>
                <a:graphic xmlns:a="http://schemas.openxmlformats.org/drawingml/2006/main">
                  <a:graphicData uri="http://schemas.microsoft.com/office/word/2010/wordprocessingShape">
                    <wps:wsp>
                      <wps:cNvSpPr/>
                      <wps:spPr>
                        <a:xfrm>
                          <a:off x="0" y="0"/>
                          <a:ext cx="1257480" cy="35244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3" path="m0,0l-2147483645,0l-2147483645,-2147483646l0,-2147483646xe"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80">
              <wp:simplePos x="0" y="0"/>
              <wp:positionH relativeFrom="margin">
                <wp:align>center</wp:align>
              </wp:positionH>
              <wp:positionV relativeFrom="paragraph">
                <wp:posOffset>635</wp:posOffset>
              </wp:positionV>
              <wp:extent cx="579755" cy="153670"/>
              <wp:effectExtent l="0" t="0" r="0" b="0"/>
              <wp:wrapNone/>
              <wp:docPr id="11"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44</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44</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4"/>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1527</TotalTime>
  <Application>LibreOffice/24.2.7.2$Linux_X86_64 LibreOffice_project/420$Build-2</Application>
  <AppVersion>15.0000</AppVersion>
  <Pages>44</Pages>
  <Words>7789</Words>
  <Characters>56814</Characters>
  <CharactersWithSpaces>64495</CharactersWithSpaces>
  <Paragraphs>569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2026-05-31T20:29:14Z</dcterms:modified>
  <cp:revision>11</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