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end"/>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sz w:val="28"/>
          <w:szCs w:val="28"/>
        </w:rPr>
      </w:pPr>
      <w:r>
        <w:rPr>
          <w:rFonts w:ascii="Times New Roman" w:hAnsi="Times New Roman"/>
          <w:b/>
          <w:sz w:val="28"/>
          <w:szCs w:val="28"/>
        </w:rPr>
        <w:t>ОТЧЕТ</w:t>
      </w:r>
    </w:p>
    <w:p>
      <w:pPr>
        <w:pStyle w:val="Normal"/>
        <w:spacing w:lineRule="auto" w:line="240"/>
        <w:jc w:val="center"/>
        <w:rPr/>
      </w:pPr>
      <w:r>
        <w:rPr>
          <w:rFonts w:ascii="Times New Roman" w:hAnsi="Times New Roman"/>
          <w:sz w:val="28"/>
          <w:szCs w:val="28"/>
        </w:rPr>
        <w:t>по преддипломной практике</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color w:val="000000"/>
          <w:sz w:val="28"/>
          <w:szCs w:val="28"/>
          <w:lang w:eastAsia="ru-RU"/>
        </w:rPr>
      </w:pPr>
      <w:r>
        <w:rPr>
          <w:rFonts w:ascii="Times New Roman" w:hAnsi="Times New Roman"/>
          <w:color w:val="000000"/>
          <w:sz w:val="28"/>
          <w:szCs w:val="28"/>
          <w:lang w:eastAsia="ru-RU"/>
        </w:rPr>
        <w:t>на материалах Молодежного студенческого конструкторского бюро «Электронные технологии» ФГБОУ ВО «Орловский государственный университет имени И.С.Тургенева»</w:t>
      </w:r>
    </w:p>
    <w:p>
      <w:pPr>
        <w:pStyle w:val="Normal"/>
        <w:spacing w:lineRule="auto" w:line="240"/>
        <w:ind w:hanging="0" w:start="330"/>
        <w:rPr>
          <w:highlight w:val="yellow"/>
        </w:rPr>
      </w:pPr>
      <w:r>
        <w:rPr>
          <w:highlight w:val="yellow"/>
        </w:rPr>
      </w:r>
    </w:p>
    <w:p>
      <w:pPr>
        <w:pStyle w:val="Normal"/>
        <w:spacing w:lineRule="auto" w:line="240"/>
        <w:ind w:hanging="0" w:start="330"/>
        <w:rPr/>
      </w:pPr>
      <w:r>
        <w:rPr>
          <w:rFonts w:ascii="Times New Roman" w:hAnsi="Times New Roman"/>
          <w:sz w:val="28"/>
          <w:szCs w:val="28"/>
        </w:rPr>
        <w:t>Студент Остапов В.Р.</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t>Группа 41КЭ-М</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Направление 11.04.03 Конструирование и технология электронных средств</w:t>
      </w:r>
    </w:p>
    <w:p>
      <w:pPr>
        <w:pStyle w:val="Normal"/>
        <w:spacing w:lineRule="auto" w:line="240"/>
        <w:ind w:hanging="0" w:start="330"/>
        <w:jc w:val="center"/>
        <w:rPr>
          <w:rFonts w:ascii="Times New Roman" w:hAnsi="Times New Roman" w:eastAsia="Arial Unicode MS"/>
          <w:color w:val="000000"/>
          <w:sz w:val="24"/>
          <w:szCs w:val="24"/>
          <w:lang w:eastAsia="ru-RU"/>
        </w:rPr>
      </w:pPr>
      <w:r>
        <w:rPr>
          <w:rFonts w:eastAsia="Arial Unicode MS" w:ascii="Times New Roman" w:hAnsi="Times New Roman"/>
          <w:color w:val="000000"/>
          <w:sz w:val="24"/>
          <w:szCs w:val="24"/>
          <w:lang w:eastAsia="ru-RU"/>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от университета </w:t>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w:t>
        <w:tab/>
        <w:tab/>
        <w:tab/>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t>от профильной организации</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Оценка защиты</w:t>
        <w:tab/>
        <w:tab/>
        <w:t xml:space="preserve">      </w:t>
        <w:tab/>
        <w:tab/>
        <w:tab/>
        <w:tab/>
        <w:tab/>
        <w:t>_______________</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pPr>
      <w:r>
        <mc:AlternateContent>
          <mc:Choice Requires="wps">
            <w:drawing>
              <wp:anchor behindDoc="0" distT="5080" distB="5080" distL="5080" distR="5080" simplePos="0" locked="0" layoutInCell="1" allowOverlap="1" relativeHeight="91">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hanging="0" w:end="45"/>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t>ИНДИВИДУАЛЬНОЕ ЗАДАНИЕ</w:t>
      </w:r>
    </w:p>
    <w:p>
      <w:pPr>
        <w:pStyle w:val="Normal"/>
        <w:spacing w:lineRule="auto" w:line="240"/>
        <w:jc w:val="center"/>
        <w:rPr/>
      </w:pPr>
      <w:r>
        <w:rPr>
          <w:rFonts w:ascii="Times New Roman" w:hAnsi="Times New Roman"/>
          <w:b/>
          <w:sz w:val="28"/>
          <w:szCs w:val="28"/>
        </w:rPr>
        <w:t>на преддипломную практику</w:t>
      </w:r>
    </w:p>
    <w:p>
      <w:pPr>
        <w:pStyle w:val="Normal"/>
        <w:spacing w:lineRule="auto" w:line="240"/>
        <w:jc w:val="center"/>
        <w:rPr>
          <w:rFonts w:ascii="Times New Roman" w:hAnsi="Times New Roman"/>
          <w:b/>
          <w:sz w:val="28"/>
          <w:szCs w:val="28"/>
        </w:rPr>
      </w:pPr>
      <w:r>
        <w:rPr>
          <w:rFonts w:ascii="Times New Roman" w:hAnsi="Times New Roman"/>
          <w:b/>
          <w:sz w:val="28"/>
          <w:szCs w:val="28"/>
        </w:rPr>
      </w:r>
    </w:p>
    <w:p>
      <w:pPr>
        <w:pStyle w:val="Normal"/>
        <w:spacing w:lineRule="auto" w:line="24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jc w:val="start"/>
        <w:rPr/>
      </w:pPr>
      <w:r>
        <w:rPr>
          <w:rFonts w:ascii="Times New Roman" w:hAnsi="Times New Roman"/>
          <w:sz w:val="28"/>
          <w:szCs w:val="28"/>
        </w:rPr>
        <w:t>для обучающегося   Остапова Владислава Руслановича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2 курса  очной формы обучения группы 41КЭ-М</w:t>
      </w:r>
    </w:p>
    <w:p>
      <w:pPr>
        <w:pStyle w:val="Normal"/>
        <w:spacing w:lineRule="auto" w:line="24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color w:val="000000"/>
          <w:sz w:val="28"/>
          <w:szCs w:val="28"/>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rPr/>
      </w:pPr>
      <w:r>
        <w:rPr>
          <w:rFonts w:ascii="Times New Roman" w:hAnsi="Times New Roman"/>
          <w:color w:val="000000"/>
          <w:sz w:val="28"/>
          <w:szCs w:val="28"/>
          <w:lang w:eastAsia="ru-RU"/>
        </w:rPr>
        <w:t xml:space="preserve">Срок прохождения практики </w:t>
      </w:r>
      <w:r>
        <w:rPr>
          <w:rFonts w:ascii="Times New Roman" w:hAnsi="Times New Roman"/>
          <w:bCs/>
          <w:color w:val="000000"/>
          <w:sz w:val="28"/>
          <w:szCs w:val="28"/>
          <w:lang w:eastAsia="ru-RU"/>
        </w:rPr>
        <w:t>с 08 апреля 2026 г. по 21 мая 2026 г.</w:t>
      </w:r>
    </w:p>
    <w:p>
      <w:pPr>
        <w:pStyle w:val="Normal"/>
        <w:spacing w:lineRule="auto" w:line="240"/>
        <w:ind w:hanging="0"/>
        <w:rPr>
          <w:rFonts w:ascii="Times New Roman" w:hAnsi="Times New Roman"/>
          <w:bCs/>
          <w:color w:val="000000"/>
          <w:sz w:val="28"/>
          <w:szCs w:val="28"/>
          <w:lang w:eastAsia="ru-RU"/>
        </w:rPr>
      </w:pPr>
      <w:r>
        <w:rPr>
          <w:rFonts w:ascii="Times New Roman" w:hAnsi="Times New Roman"/>
          <w:bCs/>
          <w:color w:val="000000"/>
          <w:sz w:val="28"/>
          <w:szCs w:val="28"/>
          <w:lang w:eastAsia="ru-RU"/>
        </w:rPr>
      </w:r>
    </w:p>
    <w:p>
      <w:pPr>
        <w:pStyle w:val="Style15"/>
        <w:tabs>
          <w:tab w:val="clear" w:pos="708"/>
          <w:tab w:val="left" w:pos="709"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709" w:leader="none"/>
        </w:tabs>
        <w:spacing w:before="0" w:after="0"/>
        <w:jc w:val="both"/>
        <w:textAlignment w:val="baseline"/>
        <w:rPr>
          <w:b/>
          <w:sz w:val="28"/>
          <w:szCs w:val="28"/>
        </w:rPr>
      </w:pPr>
      <w:r>
        <w:rPr>
          <w:b/>
          <w:sz w:val="28"/>
          <w:szCs w:val="28"/>
        </w:rPr>
        <w:t xml:space="preserve">Содержание практики (вопросы, подлежащие изучению):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анализ состояния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предлагаемые способы решения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1134" w:leader="none"/>
        </w:tabs>
        <w:spacing w:before="0" w:after="0"/>
        <w:jc w:val="both"/>
        <w:textAlignment w:val="baseline"/>
        <w:rPr>
          <w:b/>
          <w:sz w:val="28"/>
          <w:szCs w:val="28"/>
        </w:rPr>
      </w:pPr>
      <w:r>
        <w:rPr>
          <w:b/>
          <w:sz w:val="28"/>
          <w:szCs w:val="28"/>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pPr>
      <w:r>
        <w:rPr>
          <w:rFonts w:ascii="Times New Roman" w:hAnsi="Times New Roman"/>
          <w:sz w:val="28"/>
          <w:szCs w:val="28"/>
        </w:rPr>
        <w:t>–</w:t>
      </w:r>
      <w:r>
        <w:rPr>
          <w:rFonts w:eastAsia="Times New Roman" w:ascii="Times New Roman" w:hAnsi="Times New Roman"/>
          <w:sz w:val="28"/>
          <w:szCs w:val="28"/>
        </w:rPr>
        <w:t xml:space="preserve"> </w:t>
      </w:r>
      <w:r>
        <w:rPr>
          <w:rFonts w:ascii="Times New Roman" w:hAnsi="Times New Roman"/>
          <w:sz w:val="28"/>
          <w:szCs w:val="28"/>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lang w:eastAsia="ru-RU"/>
        </w:rPr>
        <w:t xml:space="preserve">Задание принял: ___________  Остапов В.Р.        </w:t>
      </w:r>
      <w:r>
        <w:rPr>
          <w:rFonts w:ascii="Times New Roman" w:hAnsi="Times New Roman"/>
          <w:color w:val="000000"/>
          <w:sz w:val="28"/>
          <w:szCs w:val="28"/>
          <w:lang w:eastAsia="ru-RU"/>
        </w:rPr>
        <w:t>«</w:t>
      </w:r>
      <w:r>
        <w:rPr>
          <w:rFonts w:ascii="Times New Roman" w:hAnsi="Times New Roman"/>
          <w:color w:val="000000"/>
          <w:sz w:val="28"/>
          <w:szCs w:val="28"/>
          <w:u w:val="single"/>
          <w:lang w:eastAsia="ru-RU"/>
        </w:rPr>
        <w:t xml:space="preserve"> 08</w:t>
      </w:r>
      <w:r>
        <w:rPr>
          <w:rFonts w:ascii="Times New Roman" w:hAnsi="Times New Roman"/>
          <w:color w:val="000000"/>
          <w:sz w:val="28"/>
          <w:szCs w:val="28"/>
          <w:lang w:eastAsia="ru-RU"/>
        </w:rPr>
        <w:t xml:space="preserve"> »</w:t>
      </w:r>
      <w:r>
        <w:rPr>
          <w:rFonts w:ascii="Times New Roman" w:hAnsi="Times New Roman"/>
          <w:color w:val="000000"/>
          <w:sz w:val="28"/>
          <w:szCs w:val="28"/>
          <w:u w:val="single"/>
          <w:lang w:eastAsia="ru-RU"/>
        </w:rPr>
        <w:t xml:space="preserve">   апреля   </w:t>
      </w:r>
      <w:r>
        <w:rPr>
          <w:rFonts w:ascii="Times New Roman" w:hAnsi="Times New Roman"/>
          <w:color w:val="000000"/>
          <w:sz w:val="28"/>
          <w:szCs w:val="28"/>
          <w:lang w:eastAsia="ru-RU"/>
        </w:rPr>
        <w:t>2026 г.</w:t>
      </w:r>
      <w:r>
        <w:br w:type="page"/>
      </w:r>
    </w:p>
    <w:p>
      <w:pPr>
        <w:pStyle w:val="Normal"/>
        <w:tabs>
          <w:tab w:val="clear" w:pos="708"/>
          <w:tab w:val="left" w:pos="8910" w:leader="none"/>
        </w:tabs>
        <w:spacing w:lineRule="auto" w:line="240" w:before="0" w:after="0"/>
        <w:ind w:hanging="0" w:start="0"/>
        <w:jc w:val="both"/>
        <w:rPr/>
      </w:pPr>
      <w:r>
        <w:rPr/>
      </w:r>
    </w:p>
    <w:p>
      <w:pPr>
        <w:pStyle w:val="Normal"/>
        <w:widowControl w:val="false"/>
        <w:jc w:val="center"/>
        <w:rPr>
          <w:rFonts w:ascii="Times New Roman" w:hAnsi="Times New Roman"/>
          <w:b/>
          <w:sz w:val="24"/>
          <w:szCs w:val="24"/>
        </w:rPr>
      </w:pPr>
      <w:r>
        <w:rPr>
          <w:rFonts w:ascii="Times New Roman" w:hAnsi="Times New Roman"/>
          <w:b/>
          <w:sz w:val="24"/>
          <w:szCs w:val="24"/>
        </w:rPr>
        <w:t>СОВМЕСТНЫЙ РАБОЧИЙ ГРАФИК (ПЛАН)</w:t>
      </w:r>
    </w:p>
    <w:p>
      <w:pPr>
        <w:pStyle w:val="Normal"/>
        <w:spacing w:lineRule="auto" w:line="240"/>
        <w:jc w:val="center"/>
        <w:rPr/>
      </w:pPr>
      <w:r>
        <w:rPr>
          <w:rFonts w:ascii="Times New Roman" w:hAnsi="Times New Roman"/>
          <w:b/>
          <w:sz w:val="24"/>
          <w:szCs w:val="24"/>
        </w:rPr>
        <w:t>проведения преддипломной практики</w:t>
      </w:r>
    </w:p>
    <w:p>
      <w:pPr>
        <w:pStyle w:val="Normal"/>
        <w:spacing w:lineRule="auto" w:line="240"/>
        <w:jc w:val="center"/>
        <w:rPr>
          <w:rFonts w:ascii="Times New Roman" w:hAnsi="Times New Roman"/>
          <w:b/>
          <w:i/>
          <w:i/>
          <w:sz w:val="24"/>
          <w:szCs w:val="24"/>
        </w:rPr>
      </w:pPr>
      <w:r>
        <w:rPr>
          <w:rFonts w:ascii="Times New Roman" w:hAnsi="Times New Roman"/>
          <w:b/>
          <w:i/>
          <w:sz w:val="24"/>
          <w:szCs w:val="24"/>
        </w:rPr>
      </w:r>
    </w:p>
    <w:p>
      <w:pPr>
        <w:pStyle w:val="Normal"/>
        <w:spacing w:before="0" w:after="120"/>
        <w:ind w:hanging="0"/>
        <w:rPr/>
      </w:pPr>
      <w:r>
        <w:rPr>
          <w:rFonts w:ascii="Times New Roman" w:hAnsi="Times New Roman"/>
          <w:sz w:val="26"/>
          <w:szCs w:val="26"/>
        </w:rPr>
        <w:t xml:space="preserve">Обучающегося 2 курса  очной формы обучения, группы 41КЭ-М </w:t>
      </w:r>
    </w:p>
    <w:p>
      <w:pPr>
        <w:pStyle w:val="Normal"/>
        <w:spacing w:before="0" w:after="120"/>
        <w:ind w:hanging="0"/>
        <w:rPr>
          <w:rFonts w:ascii="Times New Roman" w:hAnsi="Times New Roman"/>
          <w:sz w:val="26"/>
          <w:szCs w:val="26"/>
        </w:rPr>
      </w:pPr>
      <w:r>
        <w:rPr>
          <w:rFonts w:ascii="Times New Roman" w:hAnsi="Times New Roman"/>
          <w:sz w:val="26"/>
          <w:szCs w:val="26"/>
        </w:rPr>
        <w:t>Направление подготовки 11.04.03 Конструирование и технология электронных средств</w:t>
      </w:r>
    </w:p>
    <w:p>
      <w:pPr>
        <w:pStyle w:val="Normal"/>
        <w:spacing w:before="0" w:after="120"/>
        <w:ind w:hanging="0"/>
        <w:rPr/>
      </w:pPr>
      <w:r>
        <w:rPr>
          <w:rFonts w:ascii="Times New Roman" w:hAnsi="Times New Roman"/>
          <w:sz w:val="26"/>
          <w:szCs w:val="26"/>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bCs/>
          <w:color w:val="000000"/>
          <w:sz w:val="26"/>
          <w:szCs w:val="26"/>
          <w:lang w:eastAsia="ru-RU"/>
        </w:rPr>
      </w:pPr>
      <w:r>
        <w:rPr>
          <w:rFonts w:ascii="Times New Roman" w:hAnsi="Times New Roman"/>
          <w:color w:val="000000"/>
          <w:sz w:val="26"/>
          <w:szCs w:val="26"/>
          <w:lang w:eastAsia="ru-RU"/>
        </w:rPr>
        <w:t xml:space="preserve">Срок прохождения практики с </w:t>
      </w:r>
      <w:r>
        <w:rPr>
          <w:rFonts w:ascii="Times New Roman" w:hAnsi="Times New Roman"/>
          <w:bCs/>
          <w:color w:val="000000"/>
          <w:sz w:val="26"/>
          <w:szCs w:val="26"/>
          <w:lang w:eastAsia="ru-RU"/>
        </w:rPr>
        <w:t>08 апреля  2026 г. по 21 мая 2026 г.</w:t>
      </w:r>
    </w:p>
    <w:p>
      <w:pPr>
        <w:pStyle w:val="Normal"/>
        <w:spacing w:before="0" w:after="120"/>
        <w:ind w:hanging="0"/>
        <w:rPr>
          <w:rFonts w:ascii="Times New Roman" w:hAnsi="Times New Roman"/>
          <w:bCs/>
          <w:color w:val="000000"/>
          <w:sz w:val="26"/>
          <w:szCs w:val="26"/>
          <w:lang w:eastAsia="ru-RU"/>
        </w:rPr>
      </w:pPr>
      <w:r>
        <w:rPr>
          <w:rFonts w:ascii="Times New Roman" w:hAnsi="Times New Roman"/>
          <w:bCs/>
          <w:color w:val="000000"/>
          <w:sz w:val="26"/>
          <w:szCs w:val="26"/>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1"/>
        <w:gridCol w:w="1653"/>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 xml:space="preserve">№ </w:t>
            </w:r>
            <w:r>
              <w:rPr>
                <w:rFonts w:ascii="Times New Roman" w:hAnsi="Times New Roman"/>
                <w:sz w:val="20"/>
                <w:szCs w:val="24"/>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Вид работ</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Срок прохождения этапа практики</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rFonts w:ascii="Times New Roman" w:hAnsi="Times New Roman"/>
                <w:sz w:val="20"/>
                <w:szCs w:val="20"/>
              </w:rPr>
            </w:pPr>
            <w:r>
              <w:rPr>
                <w:rFonts w:ascii="Times New Roman" w:hAnsi="Times New Roman"/>
                <w:sz w:val="20"/>
                <w:szCs w:val="20"/>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Инструктаж по технике безопасности.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3. Выдача индивидуального задания.</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08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1. Сбор информации и материалов практики.</w:t>
            </w:r>
          </w:p>
          <w:p>
            <w:pPr>
              <w:pStyle w:val="Normal"/>
              <w:spacing w:lineRule="auto" w:line="240"/>
              <w:ind w:hanging="0"/>
              <w:jc w:val="start"/>
              <w:rPr/>
            </w:pPr>
            <w:r>
              <w:rPr>
                <w:rFonts w:ascii="Times New Roman" w:hAnsi="Times New Roman"/>
                <w:sz w:val="20"/>
                <w:szCs w:val="20"/>
              </w:rPr>
              <w:t>2. Выполнение программы практики, индивидуального задания на практику.</w:t>
            </w:r>
          </w:p>
          <w:p>
            <w:pPr>
              <w:pStyle w:val="Normal"/>
              <w:spacing w:lineRule="auto" w:line="240"/>
              <w:ind w:hanging="0"/>
              <w:jc w:val="start"/>
              <w:rPr/>
            </w:pPr>
            <w:r>
              <w:rPr>
                <w:rFonts w:ascii="Times New Roman" w:hAnsi="Times New Roman"/>
                <w:sz w:val="20"/>
                <w:szCs w:val="20"/>
              </w:rPr>
              <w:t>3.Обработка, систематизация и анализ фактического и теоретического материала.</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09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 –</w:t>
            </w:r>
          </w:p>
          <w:p>
            <w:pPr>
              <w:pStyle w:val="Normal"/>
              <w:spacing w:lineRule="auto" w:line="240"/>
              <w:ind w:hanging="0"/>
              <w:jc w:val="center"/>
              <w:rPr/>
            </w:pPr>
            <w:r>
              <w:rPr>
                <w:rFonts w:ascii="Times New Roman" w:hAnsi="Times New Roman"/>
                <w:sz w:val="20"/>
                <w:szCs w:val="20"/>
                <w:lang w:val="en-US"/>
              </w:rPr>
              <w:t>19</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 xml:space="preserve">1. Составление </w:t>
            </w:r>
            <w:r>
              <w:rPr>
                <w:rFonts w:ascii="Times New Roman" w:hAnsi="Times New Roman"/>
                <w:color w:val="000000"/>
                <w:sz w:val="20"/>
                <w:szCs w:val="20"/>
              </w:rPr>
              <w:t xml:space="preserve">отчета по </w:t>
            </w:r>
            <w:r>
              <w:rPr>
                <w:rFonts w:ascii="Times New Roman" w:hAnsi="Times New Roman"/>
                <w:sz w:val="20"/>
                <w:szCs w:val="20"/>
              </w:rPr>
              <w:t>практике.</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Защита отчета по практике с представлением материалов.</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lang w:val="en-US"/>
              </w:rPr>
              <w:t>20</w:t>
            </w:r>
            <w:r>
              <w:rPr>
                <w:rFonts w:ascii="Times New Roman" w:hAnsi="Times New Roman"/>
                <w:sz w:val="20"/>
                <w:szCs w:val="20"/>
              </w:rPr>
              <w:t xml:space="preserve"> мая 2026г</w:t>
            </w:r>
          </w:p>
          <w:p>
            <w:pPr>
              <w:pStyle w:val="Normal"/>
              <w:spacing w:lineRule="auto" w:line="240"/>
              <w:ind w:hanging="0"/>
              <w:jc w:val="center"/>
              <w:rPr>
                <w:rFonts w:ascii="Times New Roman" w:hAnsi="Times New Roman"/>
                <w:sz w:val="20"/>
                <w:szCs w:val="20"/>
              </w:rPr>
            </w:pPr>
            <w:r>
              <w:rPr>
                <w:rFonts w:ascii="Times New Roman" w:hAnsi="Times New Roman"/>
                <w:sz w:val="20"/>
                <w:szCs w:val="20"/>
              </w:rPr>
            </w:r>
          </w:p>
          <w:p>
            <w:pPr>
              <w:pStyle w:val="Normal"/>
              <w:spacing w:lineRule="auto" w:line="240"/>
              <w:ind w:hanging="0"/>
              <w:jc w:val="center"/>
              <w:rPr/>
            </w:pPr>
            <w:r>
              <w:rPr>
                <w:rFonts w:ascii="Times New Roman" w:hAnsi="Times New Roman"/>
                <w:sz w:val="20"/>
                <w:szCs w:val="20"/>
              </w:rPr>
              <w:t>2</w:t>
            </w:r>
            <w:r>
              <w:rPr>
                <w:rFonts w:ascii="Times New Roman" w:hAnsi="Times New Roman"/>
                <w:sz w:val="20"/>
                <w:szCs w:val="20"/>
                <w:lang w:val="en-US"/>
              </w:rPr>
              <w:t>1</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bl>
    <w:p>
      <w:pPr>
        <w:pStyle w:val="Normal"/>
        <w:tabs>
          <w:tab w:val="clear" w:pos="708"/>
          <w:tab w:val="left" w:pos="8910" w:leader="none"/>
        </w:tabs>
        <w:spacing w:lineRule="auto" w:line="240"/>
        <w:rPr>
          <w:rFonts w:ascii="Times New Roman" w:hAnsi="Times New Roman"/>
          <w:sz w:val="28"/>
          <w:szCs w:val="28"/>
        </w:rPr>
      </w:pPr>
      <w:r>
        <w:rPr>
          <w:rFonts w:ascii="Times New Roman" w:hAnsi="Times New Roman"/>
          <w:sz w:val="28"/>
          <w:szCs w:val="28"/>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t>С рабочим графиком (планом) ознакомлен:</w:t>
      </w:r>
    </w:p>
    <w:p>
      <w:pPr>
        <w:pStyle w:val="Normal"/>
        <w:tabs>
          <w:tab w:val="clear" w:pos="708"/>
          <w:tab w:val="left" w:pos="8910" w:leader="none"/>
        </w:tabs>
        <w:spacing w:lineRule="auto" w:line="240"/>
        <w:rPr/>
      </w:pPr>
      <w:r>
        <w:rPr>
          <w:rFonts w:ascii="Times New Roman" w:hAnsi="Times New Roman"/>
          <w:sz w:val="26"/>
          <w:szCs w:val="26"/>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rPr>
            <w:instrText xml:space="preserve"> TOC \z \o "1-3" \u \h</w:instrText>
          </w:r>
          <w:r>
            <w:rPr>
              <w:webHidden/>
              <w:rStyle w:val="IndexLink"/>
            </w:rPr>
            <w:fldChar w:fldCharType="separate"/>
          </w:r>
          <w:hyperlink w:anchor="__RefHeading___Toc229529021">
            <w:r>
              <w:rPr>
                <w:webHidden/>
                <w:rStyle w:val="IndexLink"/>
              </w:rPr>
              <w:t>ВВЕДЕНИЕ</w:t>
              <w:tab/>
              <w:t>5</w:t>
            </w:r>
          </w:hyperlink>
        </w:p>
        <w:p>
          <w:pPr>
            <w:pStyle w:val="TOC1"/>
            <w:tabs>
              <w:tab w:val="clear" w:pos="9345"/>
              <w:tab w:val="right" w:pos="9354" w:leader="dot"/>
            </w:tabs>
            <w:rPr/>
          </w:pPr>
          <w:hyperlink w:anchor="__RefHeading___Toc229529022">
            <w:r>
              <w:rPr>
                <w:webHidden/>
                <w:rStyle w:val="IndexLink"/>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rPr>
              <w:t>1.4 Критерии и метрики сравнения методов</w:t>
              <w:tab/>
              <w:t>12</w:t>
            </w:r>
          </w:hyperlink>
        </w:p>
        <w:p>
          <w:pPr>
            <w:pStyle w:val="TOC2"/>
            <w:tabs>
              <w:tab w:val="clear" w:pos="9072"/>
              <w:tab w:val="right" w:pos="9354" w:leader="dot"/>
            </w:tabs>
            <w:rPr/>
          </w:pPr>
          <w:hyperlink w:anchor="__RefHeading___Toc2163_1929968905">
            <w:r>
              <w:rPr>
                <w:webHidden/>
                <w:rStyle w:val="IndexLink"/>
              </w:rPr>
              <w:t>1.5 Существующие подходы к измерению параметров сигналов</w:t>
              <w:tab/>
              <w:t>14</w:t>
            </w:r>
          </w:hyperlink>
        </w:p>
        <w:p>
          <w:pPr>
            <w:pStyle w:val="TOC2"/>
            <w:tabs>
              <w:tab w:val="clear" w:pos="9072"/>
              <w:tab w:val="right" w:pos="9354" w:leader="dot"/>
            </w:tabs>
            <w:rPr/>
          </w:pPr>
          <w:hyperlink w:anchor="__RefHeading___Toc2165_1929968905">
            <w:r>
              <w:rPr>
                <w:webHidden/>
                <w:rStyle w:val="IndexLink"/>
              </w:rPr>
              <w:t>1.6 Патентный поиск и обзор аналогичных решений</w:t>
              <w:tab/>
              <w:t>19</w:t>
            </w:r>
          </w:hyperlink>
        </w:p>
        <w:p>
          <w:pPr>
            <w:pStyle w:val="TOC2"/>
            <w:tabs>
              <w:tab w:val="clear" w:pos="9072"/>
              <w:tab w:val="right" w:pos="9354" w:leader="dot"/>
            </w:tabs>
            <w:rPr/>
          </w:pPr>
          <w:hyperlink w:anchor="__RefHeading___Toc2167_1929968905">
            <w:r>
              <w:rPr>
                <w:webHidden/>
                <w:rStyle w:val="IndexLink"/>
              </w:rPr>
              <w:t>8. Рекомендованный объем экспериментальной проверки</w:t>
              <w:tab/>
              <w:t>21</w:t>
            </w:r>
          </w:hyperlink>
        </w:p>
        <w:p>
          <w:pPr>
            <w:pStyle w:val="TOC1"/>
            <w:tabs>
              <w:tab w:val="clear" w:pos="9345"/>
              <w:tab w:val="right" w:pos="9354" w:leader="dot"/>
            </w:tabs>
            <w:rPr/>
          </w:pPr>
          <w:hyperlink w:anchor="__RefHeading___Toc229529023">
            <w:r>
              <w:rPr>
                <w:webHidden/>
                <w:rStyle w:val="IndexLink"/>
              </w:rPr>
              <w:t>2. ПРЕДЛАГАЕМЫЕ СПОСОБЫ РЕШЕНИЯ ПРОБЛЕМЫ</w:t>
              <w:tab/>
              <w:t>24</w:t>
            </w:r>
          </w:hyperlink>
        </w:p>
        <w:p>
          <w:pPr>
            <w:pStyle w:val="TOC2"/>
            <w:tabs>
              <w:tab w:val="clear" w:pos="9072"/>
              <w:tab w:val="right" w:pos="9354" w:leader="dot"/>
            </w:tabs>
            <w:rPr/>
          </w:pPr>
          <w:hyperlink w:anchor="__RefHeading___Toc2169_1929968905">
            <w:r>
              <w:rPr>
                <w:webHidden/>
                <w:rStyle w:val="IndexLink"/>
              </w:rPr>
              <w:t>2.1 Аналоговые методы</w:t>
              <w:tab/>
              <w:t>24</w:t>
            </w:r>
          </w:hyperlink>
        </w:p>
        <w:p>
          <w:pPr>
            <w:pStyle w:val="TOC2"/>
            <w:tabs>
              <w:tab w:val="clear" w:pos="9072"/>
              <w:tab w:val="right" w:pos="9354" w:leader="dot"/>
            </w:tabs>
            <w:rPr/>
          </w:pPr>
          <w:hyperlink w:anchor="__RefHeading___Toc2171_1929968905">
            <w:r>
              <w:rPr>
                <w:webHidden/>
                <w:rStyle w:val="IndexLink"/>
              </w:rPr>
              <w:t>2.2 Цифровые методы</w:t>
              <w:tab/>
              <w:t>26</w:t>
            </w:r>
          </w:hyperlink>
        </w:p>
        <w:p>
          <w:pPr>
            <w:pStyle w:val="TOC2"/>
            <w:tabs>
              <w:tab w:val="clear" w:pos="9072"/>
              <w:tab w:val="right" w:pos="9354" w:leader="dot"/>
            </w:tabs>
            <w:rPr/>
          </w:pPr>
          <w:hyperlink w:anchor="__RefHeading___Toc2173_1929968905">
            <w:r>
              <w:rPr>
                <w:webHidden/>
                <w:rStyle w:val="IndexLink"/>
              </w:rPr>
              <w:t>2.3 Сравнительный анализ и патентный поиск</w:t>
              <w:tab/>
              <w:t>29</w:t>
            </w:r>
          </w:hyperlink>
        </w:p>
        <w:p>
          <w:pPr>
            <w:pStyle w:val="TOC2"/>
            <w:tabs>
              <w:tab w:val="clear" w:pos="9072"/>
              <w:tab w:val="right" w:pos="9354" w:leader="dot"/>
            </w:tabs>
            <w:rPr/>
          </w:pPr>
          <w:hyperlink w:anchor="__RefHeading___Toc2175_1929968905">
            <w:r>
              <w:rPr>
                <w:webHidden/>
                <w:rStyle w:val="IndexLink"/>
              </w:rPr>
              <w:t>2.4 Варианты реализации и сравнение</w:t>
              <w:tab/>
              <w:t>31</w:t>
            </w:r>
          </w:hyperlink>
        </w:p>
        <w:p>
          <w:pPr>
            <w:pStyle w:val="TOC2"/>
            <w:tabs>
              <w:tab w:val="clear" w:pos="9072"/>
              <w:tab w:val="right" w:pos="9354" w:leader="dot"/>
            </w:tabs>
            <w:rPr/>
          </w:pPr>
          <w:hyperlink w:anchor="__RefHeading___Toc2177_1929968905">
            <w:r>
              <w:rPr>
                <w:webHidden/>
                <w:rStyle w:val="IndexLink"/>
              </w:rPr>
              <w:t>2.5 Реализация подхода на STM32F407</w:t>
              <w:tab/>
              <w:t>33</w:t>
            </w:r>
          </w:hyperlink>
        </w:p>
        <w:p>
          <w:pPr>
            <w:pStyle w:val="TOC2"/>
            <w:tabs>
              <w:tab w:val="clear" w:pos="9072"/>
              <w:tab w:val="right" w:pos="9354" w:leader="dot"/>
            </w:tabs>
            <w:rPr/>
          </w:pPr>
          <w:hyperlink w:anchor="__RefHeading___Toc2179_1929968905">
            <w:r>
              <w:rPr>
                <w:webHidden/>
                <w:rStyle w:val="IndexLink"/>
              </w:rPr>
              <w:t>2.6 Гистограммный метод: алгоритм и статистика</w:t>
              <w:tab/>
              <w:t>34</w:t>
            </w:r>
          </w:hyperlink>
        </w:p>
        <w:p>
          <w:pPr>
            <w:pStyle w:val="TOC2"/>
            <w:tabs>
              <w:tab w:val="clear" w:pos="9072"/>
              <w:tab w:val="right" w:pos="9354" w:leader="dot"/>
            </w:tabs>
            <w:rPr/>
          </w:pPr>
          <w:hyperlink w:anchor="__RefHeading___Toc2181_1929968905">
            <w:r>
              <w:rPr>
                <w:webHidden/>
                <w:rStyle w:val="IndexLink"/>
              </w:rPr>
              <w:t>2.7 Альтернативы: FFT и корреляция</w:t>
              <w:tab/>
              <w:t>36</w:t>
            </w:r>
          </w:hyperlink>
        </w:p>
        <w:p>
          <w:pPr>
            <w:pStyle w:val="TOC2"/>
            <w:tabs>
              <w:tab w:val="clear" w:pos="9072"/>
              <w:tab w:val="right" w:pos="9354" w:leader="dot"/>
            </w:tabs>
            <w:rPr/>
          </w:pPr>
          <w:hyperlink w:anchor="__RefHeading___Toc2183_1929968905">
            <w:r>
              <w:rPr>
                <w:webHidden/>
                <w:rStyle w:val="IndexLink"/>
              </w:rPr>
              <w:t>2.8 План экспериментальной проверки</w:t>
              <w:tab/>
              <w:t>37</w:t>
            </w:r>
          </w:hyperlink>
        </w:p>
        <w:p>
          <w:pPr>
            <w:pStyle w:val="TOC2"/>
            <w:tabs>
              <w:tab w:val="clear" w:pos="9072"/>
              <w:tab w:val="right" w:pos="9354" w:leader="dot"/>
            </w:tabs>
            <w:rPr/>
          </w:pPr>
          <w:hyperlink w:anchor="__RefHeading___Toc2185_1929968905">
            <w:r>
              <w:rPr>
                <w:webHidden/>
                <w:rStyle w:val="IndexLink"/>
              </w:rPr>
              <w:t>2.9. Описание и обоснование выбранного подхода</w:t>
              <w:tab/>
              <w:t>38</w:t>
            </w:r>
          </w:hyperlink>
        </w:p>
        <w:p>
          <w:pPr>
            <w:pStyle w:val="TOC1"/>
            <w:tabs>
              <w:tab w:val="clear" w:pos="9345"/>
              <w:tab w:val="right" w:pos="9354" w:leader="dot"/>
            </w:tabs>
            <w:rPr/>
          </w:pPr>
          <w:hyperlink w:anchor="__RefHeading___Toc229529025">
            <w:r>
              <w:rPr>
                <w:webHidden/>
                <w:rStyle w:val="IndexLink"/>
              </w:rPr>
              <w:t>СПИСОК ИСПОЛЬЗОВАННЫХ ИСТОЧНИКОВ</w:t>
              <w:tab/>
              <w:t>40</w:t>
            </w:r>
          </w:hyperlink>
        </w:p>
        <w:p>
          <w:pPr>
            <w:pStyle w:val="TOC1"/>
            <w:tabs>
              <w:tab w:val="clear" w:pos="9345"/>
              <w:tab w:val="right" w:pos="9354" w:leader="dot"/>
            </w:tabs>
            <w:rPr/>
          </w:pPr>
          <w:hyperlink w:anchor="__RefHeading___Toc229529026">
            <w:r>
              <w:rPr>
                <w:webHidden/>
                <w:rStyle w:val="IndexLink"/>
              </w:rPr>
              <w:t>ПРИЛОЖЕНИЯ</w:t>
              <w:tab/>
              <w:t>43</w:t>
            </w:r>
          </w:hyperlink>
          <w:r>
            <w:rPr>
              <w:rStyle w:val="IndexLink"/>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highlight w:val="none"/>
          <w:shd w:fill="00A933" w:val="clear"/>
        </w:rPr>
      </w:pPr>
      <w:bookmarkStart w:id="0" w:name="__RefHeading___Toc229529021"/>
      <w:bookmarkEnd w:id="0"/>
      <w:r>
        <w:rPr>
          <w:shd w:fill="00A933" w:val="clear"/>
        </w:rPr>
        <w:t>ВВЕДЕНИЕ</w:t>
      </w:r>
    </w:p>
    <w:p>
      <w:pPr>
        <w:pStyle w:val="BodyText"/>
        <w:rPr/>
      </w:pPr>
      <w: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r>
        <w:br w:type="page"/>
      </w:r>
    </w:p>
    <w:p>
      <w:pPr>
        <w:pStyle w:val="Heading1"/>
        <w:numPr>
          <w:ilvl w:val="0"/>
          <w:numId w:val="1"/>
        </w:numPr>
        <w:spacing w:before="0" w:after="0"/>
        <w:ind w:firstLine="709"/>
        <w:rPr/>
      </w:pPr>
      <w:bookmarkStart w:id="1" w:name="__RefHeading___Toc229529022"/>
      <w:bookmarkEnd w:id="1"/>
      <w:r>
        <w:rPr/>
        <w:t>1. АНАЛИЗ СОСТОЯНИЯ ПРОБЛЕМЫ</w:t>
      </w:r>
    </w:p>
    <w:p>
      <w:pPr>
        <w:pStyle w:val="BodyText"/>
        <w:rPr/>
      </w:pPr>
      <w: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Heading2"/>
        <w:rPr>
          <w:highlight w:val="none"/>
          <w:shd w:fill="00A933" w:val="clear"/>
        </w:rPr>
      </w:pPr>
      <w:bookmarkStart w:id="2" w:name="__RefHeading___Toc2155_1929968905"/>
      <w:bookmarkEnd w:id="2"/>
      <w:r>
        <w:rPr>
          <w:shd w:fill="00A933" w:val="clear"/>
        </w:rPr>
        <w:t>1.1 Периодические сигналы: определение и значение</w:t>
      </w:r>
    </w:p>
    <w:p>
      <w:pPr>
        <w:pStyle w:val="BodyText"/>
        <w:rPr/>
      </w:pPr>
      <w:r>
        <w:rPr/>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widowControl w:val="false"/>
        <w:suppressAutoHyphens w:val="true"/>
        <w:bidi w:val="0"/>
        <w:spacing w:lineRule="auto" w:line="360" w:before="0" w:after="0"/>
        <w:ind w:firstLine="709"/>
        <w:rPr>
          <w:rFonts w:ascii="Times New Roman" w:hAnsi="Times New Roman" w:eastAsia="Calibri" w:cs="Times New Roman"/>
          <w:color w:val="auto"/>
          <w:kern w:val="0"/>
          <w:sz w:val="28"/>
          <w:szCs w:val="20"/>
          <w:lang w:val="ru-RU" w:eastAsia="zh-CN" w:bidi="ar-SA"/>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при любом t</w:t>
      </w:r>
      <w:r>
        <w:rPr>
          <w:color w:val="auto"/>
          <w:u w:val="none"/>
        </w:rPr>
        <w:t xml:space="preserve"> </w:t>
      </w:r>
      <w:r>
        <w:rPr>
          <w:rStyle w:val="Hyperlink"/>
          <w:color w:val="auto"/>
          <w:u w:val="none"/>
        </w:rPr>
        <w:t>[8]</w:t>
      </w:r>
      <w:r>
        <w:rPr>
          <w:color w:val="auto"/>
          <w:u w:val="none"/>
        </w:rPr>
        <w:t xml:space="preserve">. </w:t>
      </w:r>
      <w:r>
        <w:rPr/>
        <w:t>Простейшая форма – гармоническое (синусоидальное) колебание с амплитудой A и частото</w:t>
      </w:r>
      <w:r>
        <w:rPr>
          <w:color w:val="auto"/>
          <w:u w:val="none"/>
        </w:rPr>
        <w:t xml:space="preserve">й f=1/T. Сумма гармоник различной кратности основной частоты порождает сложные периодические волны (например, меандр, треугольник). </w:t>
      </w:r>
      <w:r>
        <w:rPr>
          <w:i/>
          <w:iCs/>
          <w:color w:val="auto"/>
          <w:u w:val="none"/>
        </w:rPr>
        <w:t>Фурье-преобразование</w:t>
      </w:r>
      <w:r>
        <w:rPr>
          <w:color w:val="auto"/>
          <w:u w:val="none"/>
        </w:rPr>
        <w:t xml:space="preserve"> позволяет разложить любой периодический сигнал в ряд синусоид с частотами n/T </w:t>
      </w:r>
      <w:r>
        <w:rPr>
          <w:rStyle w:val="Hyperlink"/>
          <w:color w:val="auto"/>
          <w:u w:val="none"/>
        </w:rPr>
        <w:t>[9]</w:t>
      </w:r>
      <w:r>
        <w:rPr>
          <w:color w:val="auto"/>
          <w:u w:val="none"/>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w:t>
      </w:r>
      <w:r>
        <w:rPr>
          <w:b w:val="false"/>
          <w:bCs w:val="false"/>
        </w:rPr>
        <w:t>являются фундаментальной основой практически всех электро</w:t>
        <w:softHyphen/>
        <w:t>техническ</w:t>
      </w:r>
      <w:r>
        <w:rPr/>
        <w:t>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w:t>
      </w:r>
      <w:r>
        <w:rPr>
          <w:b w:val="false"/>
          <w:bCs w:val="false"/>
        </w:rPr>
        <w:t>я систем связи, радиолокации, измерительной техники, медицинской аппаратуры и промышленного оборудования.</w:t>
      </w:r>
      <w:r>
        <w:rPr/>
        <w:t xml:space="preserve"> Например, в системах 5G/6G требуются сверхчистые (низкошу</w:t>
        <w:softHyphen/>
        <w:t>мовы) несущие сигналы с высокой стабильностью и точнос</w:t>
      </w:r>
      <w:r>
        <w:rPr>
          <w:color w:val="auto"/>
          <w:u w:val="none"/>
        </w:rPr>
        <w:t>тью</w:t>
      </w:r>
      <w:r>
        <w:rPr>
          <w:rStyle w:val="Hyperlink"/>
          <w:color w:val="auto"/>
          <w:u w:val="none"/>
        </w:rPr>
        <w:t>[10]</w:t>
      </w:r>
      <w:r>
        <w:rPr>
          <w:color w:val="auto"/>
          <w:u w:val="none"/>
        </w:rPr>
        <w:t>,</w:t>
      </w:r>
      <w:r>
        <w:rP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pPr>
      <w:bookmarkStart w:id="3" w:name="__RefHeading___Toc2157_1929968905"/>
      <w:bookmarkEnd w:id="3"/>
      <w:r>
        <w:rPr/>
        <w:t xml:space="preserve">1.2 </w:t>
      </w:r>
      <w:r>
        <w:rPr>
          <w:shd w:fill="00A933" w:val="clear"/>
        </w:rPr>
        <w:t>Области применения и практическая значимость</w:t>
      </w:r>
    </w:p>
    <w:p>
      <w:pPr>
        <w:pStyle w:val="BodyText"/>
        <w:rPr/>
      </w:pPr>
      <w:r>
        <w:rPr/>
        <w:t>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w:t>
      </w:r>
      <w:r>
        <w:rPr>
          <w:color w:val="auto"/>
          <w:u w:val="none"/>
        </w:rPr>
        <w:t>литудой. Тайминговые сигналы (тактовые или синхросигналы) – прямоугольные волны – «сердце» цифровых каналов</w:t>
      </w:r>
      <w:r>
        <w:rPr>
          <w:rStyle w:val="Hyperlink"/>
          <w:color w:val="auto"/>
          <w:u w:val="none"/>
        </w:rPr>
        <w:t>[10]</w:t>
      </w:r>
      <w:r>
        <w:rPr>
          <w:color w:val="auto"/>
          <w:u w:val="none"/>
        </w:rPr>
        <w:t>. Измерители параметров таких сигналов применяются в радио и оптике (проверка качества несущ</w:t>
      </w:r>
      <w:r>
        <w:rPr/>
        <w:t>ей, уровня модуляции, помехоустойчивости каналов).</w:t>
      </w:r>
    </w:p>
    <w:p>
      <w:pPr>
        <w:pStyle w:val="BodyText"/>
        <w:rPr/>
      </w:pPr>
      <w:r>
        <w:rPr/>
        <w:t>В области</w:t>
      </w:r>
      <w:r>
        <w:rPr>
          <w:b w:val="false"/>
          <w:bCs w:val="false"/>
        </w:rPr>
        <w:t xml:space="preserve"> радиолокации и радионавигации зо</w:t>
      </w:r>
      <w:r>
        <w:rPr/>
        <w:t>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rPr>
          <w:color w:val="auto"/>
          <w:u w:val="none"/>
        </w:rPr>
        <w:t xml:space="preserve"> </w:t>
      </w:r>
      <w:r>
        <w:rPr>
          <w:rStyle w:val="Hyperlink"/>
          <w:color w:val="auto"/>
          <w:u w:val="none"/>
        </w:rPr>
        <w:t>[11]</w:t>
      </w:r>
      <w:r>
        <w:rPr>
          <w:color w:val="auto"/>
          <w:u w:val="none"/>
        </w:rPr>
        <w:t>. На</w:t>
      </w:r>
      <w:r>
        <w:rPr/>
        <w:t>дежная оценка частоты/фазы сигналов обеспечивает высокую точность позиционирования в навигации.</w:t>
      </w:r>
    </w:p>
    <w:p>
      <w:pPr>
        <w:pStyle w:val="BodyText"/>
        <w:rPr/>
      </w:pPr>
      <w:r>
        <w:rPr/>
        <w:t xml:space="preserve">В </w:t>
      </w:r>
      <w:r>
        <w:rPr>
          <w:b w:val="false"/>
          <w:bCs w:val="false"/>
        </w:rPr>
        <w:t>медицине измерение параметров сигналов необходимо при различных исследования</w:t>
      </w:r>
      <w:r>
        <w:rPr>
          <w:b w:val="false"/>
          <w:bCs w:val="false"/>
        </w:rPr>
        <w:t>х: э</w:t>
      </w:r>
      <w:r>
        <w:rPr/>
        <w:t>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t>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t>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w:t>
      </w:r>
      <w:r>
        <w:rPr>
          <w:color w:val="auto"/>
          <w:u w:val="none"/>
        </w:rPr>
        <w:t xml:space="preserve">04B </w:t>
      </w:r>
      <w:r>
        <w:rPr>
          <w:rStyle w:val="Hyperlink"/>
          <w:color w:val="auto"/>
          <w:u w:val="none"/>
        </w:rPr>
        <w:t>[12]</w:t>
      </w:r>
      <w:r>
        <w:rPr>
          <w:color w:val="auto"/>
          <w:u w:val="none"/>
        </w:rPr>
        <w:t xml:space="preserve">) </w:t>
      </w:r>
      <w:r>
        <w:rPr/>
        <w:t>делает актуальной разработку компактных цифровых измерителей параметров сигнала.</w:t>
      </w:r>
    </w:p>
    <w:p>
      <w:pPr>
        <w:pStyle w:val="BodyText"/>
        <w:rPr/>
      </w:pPr>
      <w:r>
        <w:rPr/>
      </w:r>
    </w:p>
    <w:p>
      <w:pPr>
        <w:pStyle w:val="Heading2"/>
        <w:rPr>
          <w:highlight w:val="none"/>
          <w:shd w:fill="00A933" w:val="clear"/>
        </w:rPr>
      </w:pPr>
      <w:bookmarkStart w:id="4" w:name="__RefHeading___Toc2159_1929968905"/>
      <w:bookmarkEnd w:id="4"/>
      <w:r>
        <w:rPr>
          <w:shd w:fill="00A933" w:val="clear"/>
        </w:rPr>
        <w:t>1.3 Виды помех и их влияние на измерения</w:t>
      </w:r>
    </w:p>
    <w:p>
      <w:pPr>
        <w:pStyle w:val="BodyText"/>
        <w:rPr/>
      </w:pPr>
      <w:r>
        <w:rPr/>
        <w:t>Периодические сигналы в реальной обстановке искажаются множеством помех и шумов. Основные виды:</w:t>
      </w:r>
    </w:p>
    <w:p>
      <w:pPr>
        <w:pStyle w:val="BodyText"/>
        <w:rPr/>
      </w:pPr>
      <w:r>
        <w:rPr/>
        <w:t>Основной тип шума это т</w:t>
      </w:r>
      <w:r>
        <w:rPr>
          <w:b w:val="false"/>
          <w:bCs w:val="false"/>
        </w:rPr>
        <w:t>епловой шум (джонсоновский).</w:t>
      </w:r>
      <w:r>
        <w:rPr/>
        <w:t xml:space="preserve"> Широкополосный шум, генерируемый тепловым движением электронов в резисторах и полупроводниках. Этот тип шума присутствует всегда, вне зависимости от того, включен прибор или нет. Его спектральная плотность постоянна (белый шум). Он повышает фоновый уровень сигнала, снижая отношение сигнал/шум (SNR). Влияние: для измерения амплитуды шум вносит случайную погрешность, пропорциональную RMS-значению шума; для частоты – генерирует разброс синхронизации (тактовых импульсов), что уменьшает точность определения периода. При низком SNR резкость гистограммной оценки амплитуды падает, а дисперсия измеренных периодов растет. При SNR около 0 дБ погрешность частоты может достигать нескольких процентов (зависит от алгоритма измерения).</w:t>
      </w:r>
    </w:p>
    <w:p>
      <w:pPr>
        <w:pStyle w:val="BodyText"/>
        <w:rPr/>
      </w:pPr>
      <w:r>
        <w:rPr/>
        <w:t xml:space="preserve">Другой тип шума: </w:t>
      </w:r>
      <w:r>
        <w:rPr>
          <w:b w:val="false"/>
          <w:bCs w:val="false"/>
        </w:rPr>
        <w:t>фазовый шум. Он выглядит как к</w:t>
      </w:r>
      <w:r>
        <w:rPr/>
        <w:t>ратковременные флуктуации фазы или времени периодического сигнала. Вызываются нестабильностью генератора, шумом в усилителях, квантованием АЦП и д</w:t>
      </w:r>
      <w:r>
        <w:rPr>
          <w:color w:val="auto"/>
          <w:u w:val="none"/>
        </w:rPr>
        <w:t xml:space="preserve">р. </w:t>
      </w:r>
      <w:r>
        <w:rPr>
          <w:rStyle w:val="Hyperlink"/>
          <w:color w:val="auto"/>
          <w:u w:val="none"/>
        </w:rPr>
        <w:t>[13]</w:t>
      </w:r>
      <w:r>
        <w:rPr>
          <w:color w:val="auto"/>
          <w:u w:val="none"/>
        </w:rPr>
        <w:t>. Фазовый шум приводит к расширению спектральной линии сигнала и нелин</w:t>
      </w:r>
      <w:r>
        <w:rPr/>
        <w:t>ейному изменению частоты во времени; джиттер (колебания фронтов) создает дисперсию замера периода. Фазовый шум часто измеряют в дБ/Hz и учитывают при проектировании ФАПЧ; большой джиттер ограничивает разрешающую способность частотомеров. Например, даже при хорошей среде измерения малейшие флуктуации «времени прихода» фронта (десятки пс) дают миллисекундный разброс при частоте в кГц.</w:t>
      </w:r>
    </w:p>
    <w:p>
      <w:pPr>
        <w:pStyle w:val="BodyText"/>
        <w:rPr>
          <w:b w:val="false"/>
          <w:bCs w:val="false"/>
        </w:rPr>
      </w:pPr>
      <w:r>
        <w:rPr/>
        <w:t>Кратковременные высокоамплитудные выбросы (например, от коммутационных переходов, грозовых раз</w:t>
      </w:r>
      <w:r>
        <w:rPr>
          <w:color w:val="auto"/>
          <w:u w:val="none"/>
        </w:rPr>
        <w:t xml:space="preserve">рядов) — это еще один вид помех. Такие помехи называются импульсные. </w:t>
      </w:r>
      <w:r>
        <w:rPr>
          <w:rStyle w:val="Hyperlink"/>
          <w:color w:val="auto"/>
          <w:u w:val="none"/>
        </w:rPr>
        <w:t>[14]</w:t>
      </w:r>
      <w:r>
        <w:rPr>
          <w:color w:val="auto"/>
          <w:u w:val="none"/>
        </w:rPr>
        <w:t>. О</w:t>
      </w:r>
      <w:r>
        <w:rPr/>
        <w:t>ни составляют узкополосную или широкополосную помеху с большим пиковым значением. При приеме такие выбросы порой полностью «забивают» сигнал на время импульса. Методы борьбы (фильтрация, амплитудное ограничение) смещают уровень усиления, но меряют их нелинейность. Для нашего измерителя импульсная помеха может давать ложный пик в гистограмме амплитуд или сбивать определение начала/конца периода. Устройство должно фильтровать такие помехи.</w:t>
      </w:r>
    </w:p>
    <w:p>
      <w:pPr>
        <w:pStyle w:val="BodyText"/>
        <w:rPr>
          <w:b w:val="false"/>
          <w:bCs w:val="false"/>
        </w:rPr>
      </w:pPr>
      <w:r>
        <w:rPr>
          <w:b w:val="false"/>
          <w:bCs w:val="false"/>
        </w:rPr>
        <w:t>Электромагнитные помехи - узко</w:t>
      </w:r>
      <w:r>
        <w:rPr/>
        <w:t>полосные сигналы от другого оборудования (помехи бытовой сети, радиопередатчики и т.п.) накладываются на исходный сигнал. Они создают периодические или близкие к периодическим добавочные колебания. В спектре ЭМИ проявляются как дополнительные линии или спайки. На измерения: узкополосные помехи искажают форму гистограммы (появляются побочные пики), добавляют шум в амплитудный анализ. Например, помеха 50 Гц часто влияет на измерения низкочастотных сигналов, а радиочастотная помеха – на ВЧ.</w:t>
      </w:r>
    </w:p>
    <w:p>
      <w:pPr>
        <w:pStyle w:val="BodyText"/>
        <w:rPr/>
      </w:pPr>
      <w:r>
        <w:rPr>
          <w:b w:val="false"/>
          <w:bCs w:val="false"/>
        </w:rPr>
        <w:t>Другие шумы (слипания, дробовой шум, 1/f-шум и т.д.) реже</w:t>
      </w:r>
      <w:r>
        <w:rPr/>
        <w:t xml:space="preserve"> влияют напрямую, но могут рассыпать оценку амплитуды на больших частотах и малых сигналах. Их эффекты проявляются при малых амплитудах (дробовой шум при малом токе) или в области низких частот (фликкер шум).</w:t>
      </w:r>
    </w:p>
    <w:p>
      <w:pPr>
        <w:pStyle w:val="BodyText"/>
        <w:rPr/>
      </w:pPr>
      <w:r>
        <w:rPr/>
        <w:t>Как итог, влияние помех приводит к снижению точности измерения амплитуды и частоты. Обычно оценку качества делают через отношение SNR и статистические погрешности. Важен выбор метода измерения с хорошей помехоустойчивостью или последующей цифровой фильтрацией.</w:t>
      </w:r>
    </w:p>
    <w:p>
      <w:pPr>
        <w:pStyle w:val="BodyText"/>
        <w:rPr/>
      </w:pPr>
      <w:r>
        <w:rPr/>
      </w:r>
    </w:p>
    <w:p>
      <w:pPr>
        <w:pStyle w:val="Heading2"/>
        <w:rPr>
          <w:highlight w:val="none"/>
          <w:shd w:fill="00A933" w:val="clear"/>
        </w:rPr>
      </w:pPr>
      <w:bookmarkStart w:id="5" w:name="__RefHeading___Toc2161_1929968905"/>
      <w:bookmarkEnd w:id="5"/>
      <w:r>
        <w:rPr>
          <w:shd w:fill="00A933" w:val="clear"/>
        </w:rPr>
        <w:t xml:space="preserve">1.4 </w:t>
      </w:r>
      <w:r>
        <w:rPr>
          <w:shd w:fill="00A933" w:val="clear"/>
        </w:rPr>
        <w:t>Критерии и метрики сравнения методов</w:t>
      </w:r>
    </w:p>
    <w:p>
      <w:pPr>
        <w:pStyle w:val="BodyText"/>
        <w:rPr>
          <w:b w:val="false"/>
          <w:bCs w:val="false"/>
        </w:rPr>
      </w:pPr>
      <w:r>
        <w:rPr>
          <w:b w:val="false"/>
          <w:bCs w:val="false"/>
        </w:rP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pPr>
        <w:pStyle w:val="BodyText"/>
        <w:rPr>
          <w:b w:val="false"/>
          <w:bCs w:val="false"/>
        </w:rPr>
      </w:pPr>
      <w:r>
        <w:rPr>
          <w:b w:val="false"/>
          <w:bCs w:val="false"/>
        </w:rPr>
        <w:t>Следует отметить, что при разработке измерительных устройств недостаточно рассматривать только метрологические характеристики. Высокая точность измерений может сопровождаться значительным усложнением аппаратной части, высокой стоимостью компонентов или невозможностью адаптации алгоритмов обработки под новые условия эксплуатации. Аналогично, дешевые и простые решения могут обладать недостаточной точностью либо ограниченным набором измеряемых параметров. Поэтому сравнение различных методов должно выполняться по совокупности критериев, отражающих как технические, так и экономические аспекты разработки.</w:t>
      </w:r>
    </w:p>
    <w:p>
      <w:pPr>
        <w:pStyle w:val="BodyText"/>
        <w:rPr>
          <w:b w:val="false"/>
          <w:bCs w:val="false"/>
        </w:rPr>
      </w:pPr>
      <w:r>
        <w:rPr>
          <w:b w:val="false"/>
          <w:bCs w:val="false"/>
        </w:rPr>
        <w:t>При выборе критериев оценки учитывались особенности рассматриваемой задачи, а именно необходимость определения параметров периодических сигналов в условиях воздействия шумов и помех, возможность последующей модернизации программного обеспечения, а также перспективы практического применения устройства в составе измерительных комплексов. Для объективной оценки методов введены следующие критерии.</w:t>
      </w:r>
    </w:p>
    <w:p>
      <w:pPr>
        <w:pStyle w:val="BodyText"/>
        <w:rPr>
          <w:b w:val="false"/>
          <w:bCs w:val="false"/>
        </w:rPr>
      </w:pPr>
      <w:r>
        <w:rPr>
          <w:b w:val="false"/>
          <w:bCs w:val="false"/>
        </w:rPr>
        <w:t>Сложность разработки. Данный критерий характеризует объем трудозатрат, необходимых для создания устройства, включая проектирование аппаратной части, разработку программного обеспечения и проведение испытаний. Оценка выполняется по предполагаемому количеству человеко-часов, а также по уровню требуемой квалификации разработчиков. Особое внимание уделяется необходимости применения специализированных знаний в области цифровой обработки сигналов, схемотехники высокоскоростных аналоговых трактов и программирования встраиваемых систем. Критерий имеет высокую значимость, поскольку напрямую влияет на сроки выполнения проекта и стоимость разработки.</w:t>
      </w:r>
    </w:p>
    <w:p>
      <w:pPr>
        <w:pStyle w:val="BodyText"/>
        <w:rPr>
          <w:b w:val="false"/>
          <w:bCs w:val="false"/>
        </w:rPr>
      </w:pPr>
      <w:r>
        <w:rPr>
          <w:b w:val="false"/>
          <w:bCs w:val="false"/>
        </w:rPr>
        <w:t>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pPr>
        <w:pStyle w:val="BodyText"/>
        <w:rPr>
          <w:b w:val="false"/>
          <w:bCs w:val="false"/>
        </w:rPr>
      </w:pPr>
      <w:r>
        <w:rPr>
          <w:b w:val="false"/>
          <w:bCs w:val="false"/>
        </w:rPr>
        <w:t>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её дальнейшего развития.</w:t>
      </w:r>
    </w:p>
    <w:p>
      <w:pPr>
        <w:pStyle w:val="BodyText"/>
        <w:rPr>
          <w:b w:val="false"/>
          <w:bCs w:val="false"/>
        </w:rPr>
      </w:pPr>
      <w:r>
        <w:rPr>
          <w:b w:val="false"/>
          <w:bCs w:val="false"/>
        </w:rP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pPr>
        <w:pStyle w:val="BodyText"/>
        <w:rPr>
          <w:b w:val="false"/>
          <w:bCs w:val="false"/>
        </w:rPr>
      </w:pPr>
      <w:r>
        <w:rPr>
          <w:b w:val="false"/>
          <w:bCs w:val="false"/>
        </w:rPr>
        <w:t>Время реакции системы. Критерий характеризует скорость получения результатов измерений и задержку между поступлением сигнала и формированием оценки его параметров. При анализе учитывается как время накопления данных, так и длительность их последующей обработки. Особую важность данный показатель приобретает при работе с быстро изменяющимися процессами и в системах автоматического управления, где своевременность получения информации оказывает непосредственное влияние на эффективность работы всей системы.</w:t>
      </w:r>
    </w:p>
    <w:p>
      <w:pPr>
        <w:pStyle w:val="BodyText"/>
        <w:rPr>
          <w:b w:val="false"/>
          <w:bCs w:val="false"/>
        </w:rPr>
      </w:pPr>
      <w:r>
        <w:rPr>
          <w:b w:val="false"/>
          <w:bCs w:val="false"/>
        </w:rPr>
        <w:t>Таким образом, выбранные критерии позволяют выполнить комплексное сравнение различных подходов к определению параметров периодических сигналов и обеспечить обоснованный выбор технического решения для дальнейшей реализации устройства.</w:t>
      </w:r>
    </w:p>
    <w:p>
      <w:pPr>
        <w:pStyle w:val="BodyText"/>
        <w:rPr>
          <w:lang w:val="ru-RU" w:eastAsia="en-US"/>
        </w:rPr>
      </w:pPr>
      <w:r>
        <w:rPr>
          <w:lang w:val="ru-RU" w:eastAsia="en-US"/>
        </w:rPr>
      </w:r>
    </w:p>
    <w:p>
      <w:pPr>
        <w:pStyle w:val="Heading2"/>
        <w:rPr/>
      </w:pPr>
      <w:bookmarkStart w:id="6" w:name="__RefHeading___Toc2163_1929968905"/>
      <w:bookmarkEnd w:id="6"/>
      <w:r>
        <w:rPr/>
        <w:t>1</w:t>
      </w:r>
      <w:r>
        <w:rPr>
          <w:shd w:fill="800080" w:val="clear"/>
        </w:rPr>
        <w:t xml:space="preserve">.5 </w:t>
      </w:r>
      <w:r>
        <w:rPr>
          <w:shd w:fill="800080" w:val="clear"/>
        </w:rPr>
        <w:t>Существующие подходы к</w:t>
      </w:r>
      <w:r>
        <w:rPr/>
        <w:t xml:space="preserve"> измерению параметров сигналов</w:t>
      </w:r>
    </w:p>
    <w:p>
      <w:pPr>
        <w:pStyle w:val="BodyText"/>
        <w:rPr>
          <w:lang w:val="en-US"/>
        </w:rPr>
      </w:pPr>
      <w:r>
        <w:rPr/>
        <w:t>Самый простой метод измерения параметров – аналоговый. Метод подразумевает специализированную аналоговую схему, которая будет решать одну единственную задачу без возможности изменения алгоритма решения задачи без изменения электрической схемы. Рассмотрим основные подх</w:t>
      </w:r>
      <w:r>
        <w:rPr>
          <w:b w:val="false"/>
          <w:bCs w:val="false"/>
        </w:rPr>
        <w:t>оды</w:t>
      </w:r>
      <w:r>
        <w:rPr>
          <w:b w:val="false"/>
          <w:bCs w:val="false"/>
          <w:lang w:val="en-US"/>
        </w:rPr>
        <w:t>:</w:t>
      </w:r>
    </w:p>
    <w:p>
      <w:pPr>
        <w:pStyle w:val="BodyText"/>
        <w:rPr/>
      </w:pPr>
      <w:r>
        <w:rPr>
          <w:b w:val="false"/>
          <w:bCs w:val="false"/>
        </w:rPr>
        <w:t xml:space="preserve">Компараторы и пороговые детекторы преобразуют входной сигнал в цифровую последовательность импульсов (сигнализации фронтов). Просты по реализации (цена </w:t>
      </w:r>
      <w:r>
        <w:rPr/>
        <w:t>– дешевые ОУ или компараторы), но чувствительны к уровню смещения и шуму (каждый фронт может «дребезжать» из-за шипов). Требуют дополнительной</w:t>
      </w:r>
      <w:r>
        <w:rPr>
          <w:b w:val="false"/>
          <w:bCs w:val="false"/>
          <w:color w:val="auto"/>
          <w:u w:val="none"/>
        </w:rPr>
        <w:t xml:space="preserve"> схемы стабилизации порога. Плюс: просты, работают в реальном времени, не требуют АЦП и ЦП. Минус: низкая гибкость: алгоритм детектирования фиксирован (обычно срабатывание по одному порогу или Шор-схема), трудно обрабатывать форму. Подход хорош для цифровых частотомеров и простых измерителей амплитуды, но с низкой точностью при шуме </w:t>
      </w:r>
      <w:r>
        <w:rPr>
          <w:rStyle w:val="Hyperlink"/>
          <w:b w:val="false"/>
          <w:bCs w:val="false"/>
          <w:color w:val="auto"/>
          <w:u w:val="none"/>
        </w:rPr>
        <w:t>[15]</w:t>
      </w:r>
      <w:r>
        <w:rPr>
          <w:b w:val="false"/>
          <w:bCs w:val="false"/>
          <w:color w:val="auto"/>
          <w:u w:val="none"/>
        </w:rPr>
        <w:t>.</w:t>
      </w:r>
    </w:p>
    <w:p>
      <w:pPr>
        <w:pStyle w:val="BodyText"/>
        <w:rPr/>
      </w:pPr>
      <w:r>
        <w:rPr>
          <w:b w:val="false"/>
          <w:bCs w:val="false"/>
          <w:color w:val="auto"/>
          <w:u w:val="none"/>
        </w:rPr>
        <w:t>Частотомеры (прямой счет): Известный метод – считать число периодов исследуемого сигнала за фиксированный промежуток времени (метод прямого счета). Схема т</w:t>
      </w:r>
      <w:r>
        <w:rPr/>
        <w:t>ипового цифрового частотомера (см. методичку) содержит входное согласующее устройство, формирователь импульсов и счетч</w:t>
      </w:r>
      <w:r>
        <w:rPr>
          <w:color w:val="auto"/>
          <w:u w:val="none"/>
        </w:rPr>
        <w:t xml:space="preserve">ик </w:t>
      </w:r>
      <w:r>
        <w:rPr>
          <w:rStyle w:val="Hyperlink"/>
          <w:color w:val="auto"/>
          <w:u w:val="none"/>
        </w:rPr>
        <w:t>[15]</w:t>
      </w:r>
      <w:r>
        <w:rPr>
          <w:color w:val="auto"/>
          <w:u w:val="none"/>
        </w:rPr>
        <w:t>.</w:t>
      </w:r>
      <w:r>
        <w:rPr/>
        <w:t xml:space="preserve"> Принцип прост: за время $T_{сч}$ подсчитывают $N$ полных периодов сигнала, после чего $f=N/T_{сч}$</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w:t>
      </w:r>
      <w:r>
        <w:rPr>
          <w:b/>
          <w:bCs/>
        </w:rPr>
        <w:t>Плюс:</w:t>
      </w:r>
      <w:r>
        <w:rPr/>
        <w:t xml:space="preserve"> высокая точность при больших счетных интервалах, простота измерения синусоид. </w:t>
      </w:r>
      <w:r>
        <w:rPr>
          <w:b/>
          <w:bCs/>
        </w:rPr>
        <w:t>Минус:</w:t>
      </w:r>
      <w:r>
        <w:rPr/>
        <w:t xml:space="preserve"> нечувствителен к изменению формы (измеряет лишь частоту), низкая гибкость, чувствительность к помехам (один лишний/пропущенный импульс дает ошибку). Погрешность связана с ограничением разрядности счетчика (интервал времени) и нестабильностью базового генератора. Для очень высоких частот требуется дорогая электроника.</w:t>
      </w:r>
    </w:p>
    <w:p>
      <w:pPr>
        <w:pStyle w:val="BodyText"/>
        <w:rPr/>
      </w:pPr>
      <w:r>
        <w:rPr>
          <w:b/>
          <w:bCs/>
        </w:rPr>
        <w:t>Фазовая автоподстройка частоты (ФАПЧ):</w:t>
      </w:r>
      <w:r>
        <w:rPr/>
        <w:t xml:space="preserve"> Система PLL автоматически синхронизирует генератор-эталон с входным сигналом по фазе. По управляющему напряжению или счетчику импульсов ФАПЧ можно определить частоту входного сигнала. </w:t>
      </w:r>
      <w:r>
        <w:rPr>
          <w:b/>
          <w:bCs/>
        </w:rPr>
        <w:t>Плюс:</w:t>
      </w:r>
      <w:r>
        <w:rPr/>
        <w:t xml:space="preserve"> гладкий выход и автоматическая фильтрация высокочастотного шума. </w:t>
      </w:r>
      <w:r>
        <w:rPr>
          <w:b/>
          <w:bCs/>
        </w:rPr>
        <w:t>Минус:</w:t>
      </w:r>
      <w:r>
        <w:rPr/>
        <w:t xml:space="preserve"> относительно медленная реакция (настройка), сложность схемы (ФД, ФАПЧ-цепь, VCO), сложно измерить амплитуду или форму (обычно выход – только частота). Применим в радиотехнике для демодуляции, но для прямого измерения параметров сигнала в шуме дает лишь оценку частоты.</w:t>
      </w:r>
    </w:p>
    <w:p>
      <w:pPr>
        <w:pStyle w:val="BodyText"/>
        <w:rPr>
          <w:rFonts w:eastAsia="Times New Roman"/>
          <w:b/>
          <w:bCs/>
          <w:szCs w:val="26"/>
        </w:rPr>
      </w:pPr>
      <w:r>
        <w:rPr/>
        <w:t xml:space="preserve">Вместе с аналоговыми методами обработки сигнала, существуют так же </w:t>
      </w:r>
      <w:r>
        <w:rPr>
          <w:b/>
          <w:bCs/>
        </w:rPr>
        <w:t>цифровые методы</w:t>
      </w:r>
      <w:r>
        <w:rPr/>
        <w:t>. В основе таких методов лежит быстродействующий АЦП и цифровая схема обработки сигнала. Рассмотрим наиболее распространенные методы:</w:t>
      </w:r>
    </w:p>
    <w:p>
      <w:pPr>
        <w:pStyle w:val="BodyText"/>
        <w:rPr/>
      </w:pPr>
      <w:r>
        <w:rPr>
          <w:b/>
          <w:bCs/>
        </w:rPr>
        <w:t>ADC + микроконтроллер:</w:t>
      </w:r>
      <w:r>
        <w:rPr/>
        <w:t xml:space="preserve"> Измеряемый сигнал оцифровывается на высокоскоростном АЦП и обрабатывается цифровыми алгоритмами. Возможные методы оценки:</w:t>
      </w:r>
    </w:p>
    <w:p>
      <w:pPr>
        <w:pStyle w:val="BodyText"/>
        <w:rPr/>
      </w:pPr>
      <w:r>
        <w:rPr>
          <w:i/>
          <w:iCs/>
        </w:rPr>
        <w:t>FFT (БПФ):</w:t>
      </w:r>
      <w:r>
        <w:rPr/>
        <w:t xml:space="preserve"> вычисление спектра для определения частоты/гармоник</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[9]</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[8]</w:t>
      </w:r>
      <w:r>
        <w:rPr>
          <w:rStyle w:val="Hyperlink"/>
        </w:rPr>
        <w:fldChar w:fldCharType="end"/>
      </w:r>
      <w:r>
        <w:rPr/>
        <w:t xml:space="preserve">. Нужен достаточный набор отсчетов (N) и вычислительная мощность. </w:t>
      </w:r>
      <w:r>
        <w:rPr>
          <w:b/>
          <w:bCs/>
        </w:rPr>
        <w:t>+</w:t>
      </w:r>
      <w:r>
        <w:rPr/>
        <w:t xml:space="preserve"> Обнаруживает несколько гармоник, оценивает спектр. </w:t>
      </w:r>
      <w:r>
        <w:rPr>
          <w:b/>
          <w:bCs/>
        </w:rPr>
        <w:t>–</w:t>
      </w:r>
      <w:r>
        <w:rPr/>
        <w:t xml:space="preserve"> Ограничения по скорости (нужно выполнять БПФ), чувствителен к оконечным эффектам и утечкам, требует хорошей синхронизации опорного такта.</w:t>
      </w:r>
    </w:p>
    <w:p>
      <w:pPr>
        <w:pStyle w:val="BodyText"/>
        <w:rPr/>
      </w:pPr>
      <w:r>
        <w:rPr>
          <w:i/>
          <w:iCs/>
        </w:rPr>
        <w:t>Метод нулевых пересечений:</w:t>
      </w:r>
      <w:r>
        <w:rPr/>
        <w:t xml:space="preserve"> в цифровой форме: отмечаем индексы перепадов знака (или срабатываний порога) в оцифрованном сигнале и вычисляем средний период. </w:t>
      </w:r>
      <w:r>
        <w:rPr>
          <w:b/>
          <w:bCs/>
        </w:rPr>
        <w:t>+</w:t>
      </w:r>
      <w:r>
        <w:rPr/>
        <w:t xml:space="preserve"> Простота: не требует FFT, подходит для одномногармонических сигналов. </w:t>
      </w:r>
      <w:r>
        <w:rPr>
          <w:b/>
          <w:bCs/>
        </w:rPr>
        <w:t>–</w:t>
      </w:r>
      <w:r>
        <w:rPr/>
        <w:t xml:space="preserve"> Чувствителен к шуму на фронтах (кроме если используют предварительную фильтрацию). Частотная точность ограничена шумом.</w:t>
      </w:r>
    </w:p>
    <w:p>
      <w:pPr>
        <w:pStyle w:val="BodyText"/>
        <w:rPr/>
      </w:pPr>
      <w:r>
        <w:rPr>
          <w:i/>
          <w:iCs/>
        </w:rPr>
        <w:t>Кросс-корреляция:</w:t>
      </w:r>
      <w:r>
        <w:rPr/>
        <w:t xml:space="preserve"> вычисляем корреляцию сигнала с самим собой со сдвигом (автокорреляция) или с известными шаблонами. Пик корреляции указывает период/фазу. </w:t>
      </w:r>
      <w:r>
        <w:rPr>
          <w:b/>
          <w:bCs/>
        </w:rPr>
        <w:t>+</w:t>
      </w:r>
      <w:r>
        <w:rPr/>
        <w:t xml:space="preserve"> Обнаруживает период даже при зашумленном сигнале, устойчивее при низком SNR. </w:t>
      </w:r>
      <w:r>
        <w:rPr>
          <w:b/>
          <w:bCs/>
        </w:rPr>
        <w:t>–</w:t>
      </w:r>
      <w:r>
        <w:rPr/>
        <w:t xml:space="preserve"> Требует много вычислений и памяти.</w:t>
      </w:r>
    </w:p>
    <w:p>
      <w:pPr>
        <w:pStyle w:val="BodyText"/>
        <w:rPr/>
      </w:pPr>
      <w:r>
        <w:rPr>
          <w:i/>
          <w:iCs/>
        </w:rPr>
        <w:t>Гистограммный анализ:</w:t>
      </w:r>
      <w:r>
        <w:rPr/>
        <w:t xml:space="preserve"> накапливаем гистограмму отсчетов амплитуд за длительный период. Пиковые бины гистограммы соответствуют характерным уровням сигнала (например, нижняя и верхняя границы прямоугольника, центральная линия нуля). Частоту сигнала можно оценить по средней длине периода (например, подсчет среднего числа отсчетов между совпадающими гистограммными пиками)</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w:t>
      </w:r>
      <w:r>
        <w:rPr>
          <w:b/>
          <w:bCs/>
        </w:rPr>
        <w:t>+</w:t>
      </w:r>
      <w:r>
        <w:rPr/>
        <w:t xml:space="preserve"> Очень устойчива к шуму в границах: шум «размазывает» гистограмму, но пики остаются. </w:t>
      </w:r>
      <w:r>
        <w:rPr>
          <w:b/>
          <w:bCs/>
        </w:rPr>
        <w:t>–</w:t>
      </w:r>
      <w:r>
        <w:rPr/>
        <w:t xml:space="preserve"> Требует большого числа отсчетов (глубина анализа), может медленно реагировать на изменение сигнала.</w:t>
      </w:r>
    </w:p>
    <w:p>
      <w:pPr>
        <w:pStyle w:val="BodyText"/>
        <w:rPr/>
      </w:pPr>
      <w:r>
        <w:rPr>
          <w:b/>
          <w:bCs/>
        </w:rPr>
        <w:t>DSP/FPGA:</w:t>
      </w:r>
      <w:r>
        <w:rPr/>
        <w:t xml:space="preserve"> Аппаратные DSP-модули или FPGA-реализации позволяют проводить на лету обработку высокоскоростных потоков (БПФ, декомпозиция, корреляция и др.). Высокая цена разработки, но очень высокая производительность и гибкость алгоритма (микширование сигналов, цифровые фильтры). В лабораториях и промышленности используются ПЛИС для анализа сигналов в реальном времени (радиотехника, SDR-системы).</w:t>
      </w:r>
    </w:p>
    <w:p>
      <w:pPr>
        <w:pStyle w:val="BodyText"/>
        <w:rPr/>
      </w:pPr>
      <w:r>
        <w:rPr>
          <w:b/>
          <w:bCs/>
        </w:rPr>
        <w:t>Специализированные цифровые анализаторы:</w:t>
      </w:r>
      <w:r>
        <w:rPr/>
        <w:t xml:space="preserve"> Например, анализаторы фазового шума и джиттера (генераторы тестовых паттернов и гистограммеры фронтов) применяют многоканальные АЦП и ковариационный анализ для глубокой оценки стабильности сигналов. В нашем случае более простые решения на АЦП+MCU покрывают основную часть требований.</w:t>
      </w:r>
    </w:p>
    <w:p>
      <w:pPr>
        <w:pStyle w:val="BodyText"/>
        <w:rPr/>
      </w:pPr>
      <w:r>
        <w:rPr>
          <w:b/>
          <w:bCs/>
        </w:rPr>
        <w:t>Сравнительный анализ методов:</w:t>
      </w:r>
      <w:r>
        <w:rPr/>
        <w:t xml:space="preserve"> Основные критерии сравнения – сложность разработки, стоимость, возможности обработки и адаптации алгоритмов, помехоустойчивость и точность измерений. Приведем схематичный сравнительный анализ в таблице:</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1982"/>
        <w:gridCol w:w="1755"/>
        <w:gridCol w:w="2367"/>
        <w:gridCol w:w="1386"/>
        <w:gridCol w:w="2081"/>
      </w:tblGrid>
      <w:tr>
        <w:trPr>
          <w:tblHeader w:val="true"/>
        </w:trPr>
        <w:tc>
          <w:tcPr>
            <w:tcW w:w="1982" w:type="dxa"/>
            <w:tcBorders>
              <w:bottom w:val="single" w:sz="6" w:space="0" w:color="000000"/>
            </w:tcBorders>
            <w:shd w:color="auto" w:fill="auto" w:val="clear"/>
            <w:vAlign w:val="bottom"/>
          </w:tcPr>
          <w:p>
            <w:pPr>
              <w:pStyle w:val="Compact"/>
              <w:spacing w:before="36" w:after="36"/>
              <w:rPr/>
            </w:pPr>
            <w:r>
              <w:rPr/>
              <w:t>Метод</w:t>
            </w:r>
          </w:p>
        </w:tc>
        <w:tc>
          <w:tcPr>
            <w:tcW w:w="1755" w:type="dxa"/>
            <w:tcBorders>
              <w:bottom w:val="single" w:sz="6" w:space="0" w:color="000000"/>
            </w:tcBorders>
            <w:shd w:color="auto" w:fill="auto" w:val="clear"/>
            <w:vAlign w:val="bottom"/>
          </w:tcPr>
          <w:p>
            <w:pPr>
              <w:pStyle w:val="Compact"/>
              <w:spacing w:before="36" w:after="36"/>
              <w:rPr/>
            </w:pPr>
            <w:r>
              <w:rPr/>
              <w:t>Принцип</w:t>
            </w:r>
          </w:p>
        </w:tc>
        <w:tc>
          <w:tcPr>
            <w:tcW w:w="2367" w:type="dxa"/>
            <w:tcBorders>
              <w:bottom w:val="single" w:sz="6" w:space="0" w:color="000000"/>
            </w:tcBorders>
            <w:shd w:color="auto" w:fill="auto" w:val="clear"/>
            <w:vAlign w:val="bottom"/>
          </w:tcPr>
          <w:p>
            <w:pPr>
              <w:pStyle w:val="Compact"/>
              <w:spacing w:before="36" w:after="36"/>
              <w:rPr/>
            </w:pPr>
            <w:r>
              <w:rPr/>
              <w:t>Сложность / стоимость</w:t>
            </w:r>
          </w:p>
        </w:tc>
        <w:tc>
          <w:tcPr>
            <w:tcW w:w="1386" w:type="dxa"/>
            <w:tcBorders>
              <w:bottom w:val="single" w:sz="6" w:space="0" w:color="000000"/>
            </w:tcBorders>
            <w:shd w:color="auto" w:fill="auto" w:val="clear"/>
            <w:vAlign w:val="bottom"/>
          </w:tcPr>
          <w:p>
            <w:pPr>
              <w:pStyle w:val="Compact"/>
              <w:spacing w:before="36" w:after="36"/>
              <w:rPr/>
            </w:pPr>
            <w:r>
              <w:rPr/>
              <w:t>Устойчивость к шуму</w:t>
            </w:r>
          </w:p>
        </w:tc>
        <w:tc>
          <w:tcPr>
            <w:tcW w:w="2081" w:type="dxa"/>
            <w:tcBorders>
              <w:bottom w:val="single" w:sz="6" w:space="0" w:color="000000"/>
            </w:tcBorders>
            <w:shd w:color="auto" w:fill="auto" w:val="clear"/>
            <w:vAlign w:val="bottom"/>
          </w:tcPr>
          <w:p>
            <w:pPr>
              <w:pStyle w:val="Compact"/>
              <w:spacing w:before="36" w:after="36"/>
              <w:rPr/>
            </w:pPr>
            <w:r>
              <w:rPr/>
              <w:t>Гибкость алгоритма</w:t>
            </w:r>
          </w:p>
        </w:tc>
      </w:tr>
      <w:tr>
        <w:trPr/>
        <w:tc>
          <w:tcPr>
            <w:tcW w:w="1982" w:type="dxa"/>
            <w:tcBorders/>
            <w:shd w:color="auto" w:fill="auto" w:val="clear"/>
          </w:tcPr>
          <w:p>
            <w:pPr>
              <w:pStyle w:val="Compact"/>
              <w:spacing w:before="36" w:after="36"/>
              <w:rPr/>
            </w:pPr>
            <w:r>
              <w:rPr/>
              <w:t>Аналоговый компаратор</w:t>
            </w:r>
          </w:p>
        </w:tc>
        <w:tc>
          <w:tcPr>
            <w:tcW w:w="1755" w:type="dxa"/>
            <w:tcBorders/>
            <w:shd w:color="auto" w:fill="auto" w:val="clear"/>
          </w:tcPr>
          <w:p>
            <w:pPr>
              <w:pStyle w:val="Compact"/>
              <w:spacing w:before="36" w:after="36"/>
              <w:rPr/>
            </w:pPr>
            <w:r>
              <w:rPr/>
              <w:t>Преобразует сигнал в импульсы по уровню (ШОР-схема)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p>
        </w:tc>
        <w:tc>
          <w:tcPr>
            <w:tcW w:w="2367" w:type="dxa"/>
            <w:tcBorders/>
            <w:shd w:color="auto" w:fill="auto" w:val="clear"/>
          </w:tcPr>
          <w:p>
            <w:pPr>
              <w:pStyle w:val="Compact"/>
              <w:spacing w:before="36" w:after="36"/>
              <w:rPr/>
            </w:pPr>
            <w:r>
              <w:rPr/>
              <w:t>Очень низкая (несколько операционных усилителей)</w:t>
            </w:r>
          </w:p>
        </w:tc>
        <w:tc>
          <w:tcPr>
            <w:tcW w:w="1386" w:type="dxa"/>
            <w:tcBorders/>
            <w:shd w:color="auto" w:fill="auto" w:val="clear"/>
          </w:tcPr>
          <w:p>
            <w:pPr>
              <w:pStyle w:val="Compact"/>
              <w:spacing w:before="36" w:after="36"/>
              <w:rPr/>
            </w:pPr>
            <w:r>
              <w:rPr/>
              <w:t>Низкая (один шумовой выброс дает ошибку)</w:t>
            </w:r>
          </w:p>
        </w:tc>
        <w:tc>
          <w:tcPr>
            <w:tcW w:w="2081" w:type="dxa"/>
            <w:tcBorders/>
            <w:shd w:color="auto" w:fill="auto" w:val="clear"/>
          </w:tcPr>
          <w:p>
            <w:pPr>
              <w:pStyle w:val="Compact"/>
              <w:spacing w:before="36" w:after="36"/>
              <w:rPr/>
            </w:pPr>
            <w:r>
              <w:rPr/>
              <w:t>Почти отсутствует (фиксированный порог)</w:t>
            </w:r>
          </w:p>
        </w:tc>
      </w:tr>
      <w:tr>
        <w:trPr/>
        <w:tc>
          <w:tcPr>
            <w:tcW w:w="1982" w:type="dxa"/>
            <w:tcBorders/>
            <w:shd w:color="auto" w:fill="auto" w:val="clear"/>
          </w:tcPr>
          <w:p>
            <w:pPr>
              <w:pStyle w:val="Compact"/>
              <w:spacing w:before="36" w:after="36"/>
              <w:rPr/>
            </w:pPr>
            <w:r>
              <w:rPr/>
              <w:t>Частотомер (прямой счет)</w:t>
            </w:r>
          </w:p>
        </w:tc>
        <w:tc>
          <w:tcPr>
            <w:tcW w:w="1755" w:type="dxa"/>
            <w:tcBorders/>
            <w:shd w:color="auto" w:fill="auto" w:val="clear"/>
          </w:tcPr>
          <w:p>
            <w:pPr>
              <w:pStyle w:val="Compact"/>
              <w:spacing w:before="36" w:after="36"/>
              <w:rPr/>
            </w:pPr>
            <w:r>
              <w:rPr/>
              <w:t>Считать $N$ периодов за $T$, $f=N/T$</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p>
        </w:tc>
        <w:tc>
          <w:tcPr>
            <w:tcW w:w="2367" w:type="dxa"/>
            <w:tcBorders/>
            <w:shd w:color="auto" w:fill="auto" w:val="clear"/>
          </w:tcPr>
          <w:p>
            <w:pPr>
              <w:pStyle w:val="Compact"/>
              <w:spacing w:before="36" w:after="36"/>
              <w:rPr/>
            </w:pPr>
            <w:r>
              <w:rPr/>
              <w:t>Низкая (лог. схема, таймер)</w:t>
            </w:r>
          </w:p>
        </w:tc>
        <w:tc>
          <w:tcPr>
            <w:tcW w:w="1386" w:type="dxa"/>
            <w:tcBorders/>
            <w:shd w:color="auto" w:fill="auto" w:val="clear"/>
          </w:tcPr>
          <w:p>
            <w:pPr>
              <w:pStyle w:val="Compact"/>
              <w:spacing w:before="36" w:after="36"/>
              <w:rPr/>
            </w:pPr>
            <w:r>
              <w:rPr/>
              <w:t>Средняя (шум на фронте ведет к пропускам)</w:t>
            </w:r>
          </w:p>
        </w:tc>
        <w:tc>
          <w:tcPr>
            <w:tcW w:w="2081" w:type="dxa"/>
            <w:tcBorders/>
            <w:shd w:color="auto" w:fill="auto" w:val="clear"/>
          </w:tcPr>
          <w:p>
            <w:pPr>
              <w:pStyle w:val="Compact"/>
              <w:spacing w:before="36" w:after="36"/>
              <w:rPr/>
            </w:pPr>
            <w:r>
              <w:rPr/>
              <w:t>Низкая (только частота)</w:t>
            </w:r>
          </w:p>
        </w:tc>
      </w:tr>
      <w:tr>
        <w:trPr/>
        <w:tc>
          <w:tcPr>
            <w:tcW w:w="1982" w:type="dxa"/>
            <w:tcBorders/>
            <w:shd w:color="auto" w:fill="auto" w:val="clear"/>
          </w:tcPr>
          <w:p>
            <w:pPr>
              <w:pStyle w:val="Compact"/>
              <w:spacing w:before="36" w:after="36"/>
              <w:rPr/>
            </w:pPr>
            <w:r>
              <w:rPr/>
              <w:t>ФАПЧ</w:t>
            </w:r>
          </w:p>
        </w:tc>
        <w:tc>
          <w:tcPr>
            <w:tcW w:w="1755" w:type="dxa"/>
            <w:tcBorders/>
            <w:shd w:color="auto" w:fill="auto" w:val="clear"/>
          </w:tcPr>
          <w:p>
            <w:pPr>
              <w:pStyle w:val="Compact"/>
              <w:spacing w:before="36" w:after="36"/>
              <w:rPr/>
            </w:pPr>
            <w:r>
              <w:rPr/>
              <w:t>VCO синхронизируется с входным, по управляющему напряжению $f$</w:t>
            </w:r>
          </w:p>
        </w:tc>
        <w:tc>
          <w:tcPr>
            <w:tcW w:w="2367" w:type="dxa"/>
            <w:tcBorders/>
            <w:shd w:color="auto" w:fill="auto" w:val="clear"/>
          </w:tcPr>
          <w:p>
            <w:pPr>
              <w:pStyle w:val="Compact"/>
              <w:spacing w:before="36" w:after="36"/>
              <w:rPr/>
            </w:pPr>
            <w:r>
              <w:rPr/>
              <w:t>Средняя (ФАПЧ-узел, фильтры)</w:t>
            </w:r>
          </w:p>
        </w:tc>
        <w:tc>
          <w:tcPr>
            <w:tcW w:w="1386" w:type="dxa"/>
            <w:tcBorders/>
            <w:shd w:color="auto" w:fill="auto" w:val="clear"/>
          </w:tcPr>
          <w:p>
            <w:pPr>
              <w:pStyle w:val="Compact"/>
              <w:spacing w:before="36" w:after="36"/>
              <w:rPr/>
            </w:pPr>
            <w:r>
              <w:rPr/>
              <w:t>Выше (фильтрация шумов, но ограниченная)</w:t>
            </w:r>
          </w:p>
        </w:tc>
        <w:tc>
          <w:tcPr>
            <w:tcW w:w="2081" w:type="dxa"/>
            <w:tcBorders/>
            <w:shd w:color="auto" w:fill="auto" w:val="clear"/>
          </w:tcPr>
          <w:p>
            <w:pPr>
              <w:pStyle w:val="Compact"/>
              <w:spacing w:before="36" w:after="36"/>
              <w:rPr/>
            </w:pPr>
            <w:r>
              <w:rPr/>
              <w:t>Средняя (адаптация задержки)</w:t>
            </w:r>
          </w:p>
        </w:tc>
      </w:tr>
      <w:tr>
        <w:trPr/>
        <w:tc>
          <w:tcPr>
            <w:tcW w:w="1982" w:type="dxa"/>
            <w:tcBorders/>
            <w:shd w:color="auto" w:fill="auto" w:val="clear"/>
          </w:tcPr>
          <w:p>
            <w:pPr>
              <w:pStyle w:val="Compact"/>
              <w:spacing w:before="36" w:after="36"/>
              <w:rPr/>
            </w:pPr>
            <w:r>
              <w:rPr/>
              <w:t>Аналого-цифровой осциллограф</w:t>
            </w:r>
          </w:p>
        </w:tc>
        <w:tc>
          <w:tcPr>
            <w:tcW w:w="1755" w:type="dxa"/>
            <w:tcBorders/>
            <w:shd w:color="auto" w:fill="auto" w:val="clear"/>
          </w:tcPr>
          <w:p>
            <w:pPr>
              <w:pStyle w:val="Compact"/>
              <w:spacing w:before="36" w:after="36"/>
              <w:rPr/>
            </w:pPr>
            <w:r>
              <w:rPr/>
              <w:t>Высокоскоростный АЦП + ЦПЛ/ЦП (запись формы сигнала)</w:t>
            </w:r>
          </w:p>
        </w:tc>
        <w:tc>
          <w:tcPr>
            <w:tcW w:w="2367" w:type="dxa"/>
            <w:tcBorders/>
            <w:shd w:color="auto" w:fill="auto" w:val="clear"/>
          </w:tcPr>
          <w:p>
            <w:pPr>
              <w:pStyle w:val="Compact"/>
              <w:spacing w:before="36" w:after="36"/>
              <w:rPr/>
            </w:pPr>
            <w:r>
              <w:rPr/>
              <w:t>Очень высокая (сложная электроника)</w:t>
            </w:r>
          </w:p>
        </w:tc>
        <w:tc>
          <w:tcPr>
            <w:tcW w:w="1386" w:type="dxa"/>
            <w:tcBorders/>
            <w:shd w:color="auto" w:fill="auto" w:val="clear"/>
          </w:tcPr>
          <w:p>
            <w:pPr>
              <w:pStyle w:val="Compact"/>
              <w:spacing w:before="36" w:after="36"/>
              <w:rPr/>
            </w:pPr>
            <w:r>
              <w:rPr/>
              <w:t>Очень высокая (цифровая фильтрация)</w:t>
            </w:r>
          </w:p>
        </w:tc>
        <w:tc>
          <w:tcPr>
            <w:tcW w:w="2081" w:type="dxa"/>
            <w:tcBorders/>
            <w:shd w:color="auto" w:fill="auto" w:val="clear"/>
          </w:tcPr>
          <w:p>
            <w:pPr>
              <w:pStyle w:val="Compact"/>
              <w:spacing w:before="36" w:after="36"/>
              <w:rPr/>
            </w:pPr>
            <w:r>
              <w:rPr/>
              <w:t>Очень высокая (произвольные алгоритмы)</w:t>
            </w:r>
          </w:p>
        </w:tc>
      </w:tr>
      <w:tr>
        <w:trPr/>
        <w:tc>
          <w:tcPr>
            <w:tcW w:w="1982" w:type="dxa"/>
            <w:tcBorders/>
            <w:shd w:color="auto" w:fill="auto" w:val="clear"/>
          </w:tcPr>
          <w:p>
            <w:pPr>
              <w:pStyle w:val="Compact"/>
              <w:spacing w:before="36" w:after="36"/>
              <w:rPr/>
            </w:pPr>
            <w:r>
              <w:rPr/>
              <w:t>АЦП + MCU (гистограмма + DSP)</w:t>
            </w:r>
          </w:p>
        </w:tc>
        <w:tc>
          <w:tcPr>
            <w:tcW w:w="1755" w:type="dxa"/>
            <w:tcBorders/>
            <w:shd w:color="auto" w:fill="auto" w:val="clear"/>
          </w:tcPr>
          <w:p>
            <w:pPr>
              <w:pStyle w:val="Compact"/>
              <w:spacing w:before="36" w:after="36"/>
              <w:rPr/>
            </w:pPr>
            <w:r>
              <w:rPr/>
              <w:t>Запись сигнала, цифровой анализ (гистограммы, FFT, кр. корреляция)</w:t>
            </w:r>
          </w:p>
        </w:tc>
        <w:tc>
          <w:tcPr>
            <w:tcW w:w="2367" w:type="dxa"/>
            <w:tcBorders/>
            <w:shd w:color="auto" w:fill="auto" w:val="clear"/>
          </w:tcPr>
          <w:p>
            <w:pPr>
              <w:pStyle w:val="Compact"/>
              <w:spacing w:before="36" w:after="36"/>
              <w:rPr/>
            </w:pPr>
            <w:r>
              <w:rPr/>
              <w:t>Средняя (микроконтроллер и АЦП)</w:t>
            </w:r>
          </w:p>
        </w:tc>
        <w:tc>
          <w:tcPr>
            <w:tcW w:w="1386" w:type="dxa"/>
            <w:tcBorders/>
            <w:shd w:color="auto" w:fill="auto" w:val="clear"/>
          </w:tcPr>
          <w:p>
            <w:pPr>
              <w:pStyle w:val="Compact"/>
              <w:spacing w:before="36" w:after="36"/>
              <w:rPr/>
            </w:pPr>
            <w:r>
              <w:rPr/>
              <w:t>Высокая (алгоритмы усреднения, фильтрация)</w:t>
            </w:r>
          </w:p>
        </w:tc>
        <w:tc>
          <w:tcPr>
            <w:tcW w:w="2081" w:type="dxa"/>
            <w:tcBorders/>
            <w:shd w:color="auto" w:fill="auto" w:val="clear"/>
          </w:tcPr>
          <w:p>
            <w:pPr>
              <w:pStyle w:val="Compact"/>
              <w:spacing w:before="36" w:after="36"/>
              <w:rPr/>
            </w:pPr>
            <w:r>
              <w:rPr/>
              <w:t>Высокая (программируемость)</w:t>
            </w:r>
          </w:p>
        </w:tc>
      </w:tr>
      <w:tr>
        <w:trPr/>
        <w:tc>
          <w:tcPr>
            <w:tcW w:w="1982" w:type="dxa"/>
            <w:tcBorders/>
            <w:shd w:color="auto" w:fill="auto" w:val="clear"/>
          </w:tcPr>
          <w:p>
            <w:pPr>
              <w:pStyle w:val="Compact"/>
              <w:spacing w:before="36" w:after="36"/>
              <w:rPr/>
            </w:pPr>
            <w:r>
              <w:rPr/>
              <w:t>БПФ-анализ (DIGITAL)</w:t>
            </w:r>
          </w:p>
        </w:tc>
        <w:tc>
          <w:tcPr>
            <w:tcW w:w="1755" w:type="dxa"/>
            <w:tcBorders/>
            <w:shd w:color="auto" w:fill="auto" w:val="clear"/>
          </w:tcPr>
          <w:p>
            <w:pPr>
              <w:pStyle w:val="Compact"/>
              <w:spacing w:before="36" w:after="36"/>
              <w:rPr/>
            </w:pPr>
            <w:r>
              <w:rPr/>
              <w:t>Быстрое преобразование Фурье для спектра</w:t>
            </w:r>
          </w:p>
        </w:tc>
        <w:tc>
          <w:tcPr>
            <w:tcW w:w="2367" w:type="dxa"/>
            <w:tcBorders/>
            <w:shd w:color="auto" w:fill="auto" w:val="clear"/>
          </w:tcPr>
          <w:p>
            <w:pPr>
              <w:pStyle w:val="Compact"/>
              <w:spacing w:before="36" w:after="36"/>
              <w:rPr/>
            </w:pPr>
            <w:r>
              <w:rPr/>
              <w:t>Средняя – высокая (микропроцессор/сопроц.)</w:t>
            </w:r>
          </w:p>
        </w:tc>
        <w:tc>
          <w:tcPr>
            <w:tcW w:w="1386" w:type="dxa"/>
            <w:tcBorders/>
            <w:shd w:color="auto" w:fill="auto" w:val="clear"/>
          </w:tcPr>
          <w:p>
            <w:pPr>
              <w:pStyle w:val="Compact"/>
              <w:spacing w:before="36" w:after="36"/>
              <w:rPr/>
            </w:pPr>
            <w:r>
              <w:rPr/>
              <w:t>Средняя (чувствителен к оконным эффектам)</w:t>
            </w:r>
          </w:p>
        </w:tc>
        <w:tc>
          <w:tcPr>
            <w:tcW w:w="2081" w:type="dxa"/>
            <w:tcBorders/>
            <w:shd w:color="auto" w:fill="auto" w:val="clear"/>
          </w:tcPr>
          <w:p>
            <w:pPr>
              <w:pStyle w:val="Compact"/>
              <w:spacing w:before="36" w:after="36"/>
              <w:rPr/>
            </w:pPr>
            <w:r>
              <w:rPr/>
              <w:t>Высокая (параметры FFT)</w:t>
            </w:r>
          </w:p>
        </w:tc>
      </w:tr>
      <w:tr>
        <w:trPr/>
        <w:tc>
          <w:tcPr>
            <w:tcW w:w="1982" w:type="dxa"/>
            <w:tcBorders/>
            <w:shd w:color="auto" w:fill="auto" w:val="clear"/>
          </w:tcPr>
          <w:p>
            <w:pPr>
              <w:pStyle w:val="Compact"/>
              <w:spacing w:before="36" w:after="36"/>
              <w:rPr/>
            </w:pPr>
            <w:r>
              <w:rPr/>
              <w:t>Нулевые пересечения (цифровой)</w:t>
            </w:r>
          </w:p>
        </w:tc>
        <w:tc>
          <w:tcPr>
            <w:tcW w:w="1755" w:type="dxa"/>
            <w:tcBorders/>
            <w:shd w:color="auto" w:fill="auto" w:val="clear"/>
          </w:tcPr>
          <w:p>
            <w:pPr>
              <w:pStyle w:val="Compact"/>
              <w:spacing w:before="36" w:after="36"/>
              <w:rPr/>
            </w:pPr>
            <w:r>
              <w:rPr/>
              <w:t>Определение моментов пересечения уровнем</w:t>
            </w:r>
          </w:p>
        </w:tc>
        <w:tc>
          <w:tcPr>
            <w:tcW w:w="2367" w:type="dxa"/>
            <w:tcBorders/>
            <w:shd w:color="auto" w:fill="auto" w:val="clear"/>
          </w:tcPr>
          <w:p>
            <w:pPr>
              <w:pStyle w:val="Compact"/>
              <w:spacing w:before="36" w:after="36"/>
              <w:rPr/>
            </w:pPr>
            <w:r>
              <w:rPr/>
              <w:t>Низкая – средняя (цифровые таймеры)</w:t>
            </w:r>
          </w:p>
        </w:tc>
        <w:tc>
          <w:tcPr>
            <w:tcW w:w="1386" w:type="dxa"/>
            <w:tcBorders/>
            <w:shd w:color="auto" w:fill="auto" w:val="clear"/>
          </w:tcPr>
          <w:p>
            <w:pPr>
              <w:pStyle w:val="Compact"/>
              <w:spacing w:before="36" w:after="36"/>
              <w:rPr/>
            </w:pPr>
            <w:r>
              <w:rPr/>
              <w:t>Низкая (фронт выскакивает при помехе)</w:t>
            </w:r>
          </w:p>
        </w:tc>
        <w:tc>
          <w:tcPr>
            <w:tcW w:w="2081" w:type="dxa"/>
            <w:tcBorders/>
            <w:shd w:color="auto" w:fill="auto" w:val="clear"/>
          </w:tcPr>
          <w:p>
            <w:pPr>
              <w:pStyle w:val="Compact"/>
              <w:spacing w:before="36" w:after="36"/>
              <w:rPr/>
            </w:pPr>
            <w:r>
              <w:rPr/>
              <w:t>Низкая (фикс. пороги)</w:t>
            </w:r>
          </w:p>
        </w:tc>
      </w:tr>
      <w:tr>
        <w:trPr/>
        <w:tc>
          <w:tcPr>
            <w:tcW w:w="1982" w:type="dxa"/>
            <w:tcBorders/>
            <w:shd w:color="auto" w:fill="auto" w:val="clear"/>
          </w:tcPr>
          <w:p>
            <w:pPr>
              <w:pStyle w:val="Compact"/>
              <w:spacing w:before="36" w:after="36"/>
              <w:rPr/>
            </w:pPr>
            <w:r>
              <w:rPr/>
              <w:t>Корреляционный (автокорреляция)</w:t>
            </w:r>
          </w:p>
        </w:tc>
        <w:tc>
          <w:tcPr>
            <w:tcW w:w="1755" w:type="dxa"/>
            <w:tcBorders/>
            <w:shd w:color="auto" w:fill="auto" w:val="clear"/>
          </w:tcPr>
          <w:p>
            <w:pPr>
              <w:pStyle w:val="Compact"/>
              <w:spacing w:before="36" w:after="36"/>
              <w:rPr/>
            </w:pPr>
            <w:r>
              <w:rPr/>
              <w:t>Сдвиг и корреляция сигнала с самим собой</w:t>
            </w:r>
          </w:p>
        </w:tc>
        <w:tc>
          <w:tcPr>
            <w:tcW w:w="2367" w:type="dxa"/>
            <w:tcBorders/>
            <w:shd w:color="auto" w:fill="auto" w:val="clear"/>
          </w:tcPr>
          <w:p>
            <w:pPr>
              <w:pStyle w:val="Compact"/>
              <w:spacing w:before="36" w:after="36"/>
              <w:rPr/>
            </w:pPr>
            <w:r>
              <w:rPr/>
              <w:t>Высокая (большая обработка)</w:t>
            </w:r>
          </w:p>
        </w:tc>
        <w:tc>
          <w:tcPr>
            <w:tcW w:w="1386" w:type="dxa"/>
            <w:tcBorders/>
            <w:shd w:color="auto" w:fill="auto" w:val="clear"/>
          </w:tcPr>
          <w:p>
            <w:pPr>
              <w:pStyle w:val="Compact"/>
              <w:spacing w:before="36" w:after="36"/>
              <w:rPr/>
            </w:pPr>
            <w:r>
              <w:rPr/>
              <w:t>Очень высокая (выделяет период из шума)</w:t>
            </w:r>
          </w:p>
        </w:tc>
        <w:tc>
          <w:tcPr>
            <w:tcW w:w="2081" w:type="dxa"/>
            <w:tcBorders/>
            <w:shd w:color="auto" w:fill="auto" w:val="clear"/>
          </w:tcPr>
          <w:p>
            <w:pPr>
              <w:pStyle w:val="Compact"/>
              <w:spacing w:before="36" w:after="36"/>
              <w:rPr/>
            </w:pPr>
            <w:r>
              <w:rPr/>
              <w:t>Высокая (гибкое определение шаблонов)</w:t>
            </w:r>
          </w:p>
        </w:tc>
      </w:tr>
      <w:tr>
        <w:trPr/>
        <w:tc>
          <w:tcPr>
            <w:tcW w:w="1982" w:type="dxa"/>
            <w:tcBorders/>
            <w:shd w:color="auto" w:fill="auto" w:val="clear"/>
          </w:tcPr>
          <w:p>
            <w:pPr>
              <w:pStyle w:val="Compact"/>
              <w:spacing w:before="36" w:after="36"/>
              <w:rPr/>
            </w:pPr>
            <w:r>
              <w:rPr/>
              <w:t>Специализированные DSP/FPGA</w:t>
            </w:r>
          </w:p>
        </w:tc>
        <w:tc>
          <w:tcPr>
            <w:tcW w:w="1755" w:type="dxa"/>
            <w:tcBorders/>
            <w:shd w:color="auto" w:fill="auto" w:val="clear"/>
          </w:tcPr>
          <w:p>
            <w:pPr>
              <w:pStyle w:val="Compact"/>
              <w:spacing w:before="36" w:after="36"/>
              <w:rPr/>
            </w:pPr>
            <w:r>
              <w:rPr/>
              <w:t>Аппаратная реализация алгоритмов (FFT, DM)</w:t>
            </w:r>
          </w:p>
        </w:tc>
        <w:tc>
          <w:tcPr>
            <w:tcW w:w="2367" w:type="dxa"/>
            <w:tcBorders/>
            <w:shd w:color="auto" w:fill="auto" w:val="clear"/>
          </w:tcPr>
          <w:p>
            <w:pPr>
              <w:pStyle w:val="Compact"/>
              <w:spacing w:before="36" w:after="36"/>
              <w:rPr/>
            </w:pPr>
            <w:r>
              <w:rPr/>
              <w:t>Очень высокая (комплексные ПЛИС)</w:t>
            </w:r>
          </w:p>
        </w:tc>
        <w:tc>
          <w:tcPr>
            <w:tcW w:w="1386" w:type="dxa"/>
            <w:tcBorders/>
            <w:shd w:color="auto" w:fill="auto" w:val="clear"/>
          </w:tcPr>
          <w:p>
            <w:pPr>
              <w:pStyle w:val="Compact"/>
              <w:spacing w:before="36" w:after="36"/>
              <w:rPr/>
            </w:pPr>
            <w:r>
              <w:rPr/>
              <w:t>Высокая (кастомные фильтры и алгоритмы)</w:t>
            </w:r>
          </w:p>
        </w:tc>
        <w:tc>
          <w:tcPr>
            <w:tcW w:w="2081" w:type="dxa"/>
            <w:tcBorders/>
            <w:shd w:color="auto" w:fill="auto" w:val="clear"/>
          </w:tcPr>
          <w:p>
            <w:pPr>
              <w:pStyle w:val="Compact"/>
              <w:spacing w:before="36" w:after="36"/>
              <w:rPr/>
            </w:pPr>
            <w:r>
              <w:rPr/>
              <w:t>Очень высокая (реконфигурируемость)</w:t>
            </w:r>
          </w:p>
        </w:tc>
      </w:tr>
    </w:tbl>
    <w:p>
      <w:pPr>
        <w:pStyle w:val="BodyText"/>
        <w:rPr>
          <w:lang w:val="ru-RU"/>
        </w:rPr>
      </w:pPr>
      <w:r>
        <w:rPr>
          <w:lang w:val="ru-RU"/>
        </w:rPr>
      </w:r>
    </w:p>
    <w:p>
      <w:pPr>
        <w:pStyle w:val="BodyText"/>
        <w:rPr/>
      </w:pPr>
      <w:r>
        <w:rPr/>
        <w:t xml:space="preserve">Источник: составлено автором на основе принципов из литературы </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rPr/>
        <w:t>.</w:t>
      </w:r>
    </w:p>
    <w:p>
      <w:pPr>
        <w:pStyle w:val="BodyText"/>
        <w:rPr/>
      </w:pPr>
      <w:r>
        <w:rPr/>
      </w:r>
    </w:p>
    <w:p>
      <w:pPr>
        <w:pStyle w:val="Heading2"/>
        <w:rPr/>
      </w:pPr>
      <w:bookmarkStart w:id="7" w:name="__RefHeading___Toc2165_1929968905"/>
      <w:bookmarkEnd w:id="7"/>
      <w:r>
        <w:rPr/>
        <w:t>1.</w:t>
      </w:r>
      <w:r>
        <w:rPr/>
        <w:t>6</w:t>
      </w:r>
      <w:r>
        <w:rPr/>
        <w:t xml:space="preserve"> Патентный поиск и обзор аналогичных решений</w:t>
      </w:r>
    </w:p>
    <w:p>
      <w:pPr>
        <w:pStyle w:val="BodyText"/>
        <w:rPr/>
      </w:pPr>
      <w:r>
        <w:rPr/>
        <w:t>В результате патентного поиска обнаружены отдельные решения, связанные с измерением параметров периодических сигналов:</w:t>
      </w:r>
    </w:p>
    <w:p>
      <w:pPr>
        <w:pStyle w:val="BodyText"/>
        <w:rPr>
          <w:lang w:val="en-US"/>
        </w:rPr>
      </w:pPr>
      <w:r>
        <w:rPr>
          <w:b/>
          <w:bCs/>
        </w:rPr>
        <w:t>- RU2183839C1 (2002):</w:t>
      </w:r>
      <w:r>
        <w:rPr/>
        <w:t xml:space="preserve"> описан метод измерения частоты синусоидальных сигналов через рекуррентные формулы фаз</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[11]</w:t>
      </w:r>
      <w:r>
        <w:rPr>
          <w:rStyle w:val="Hyperlink"/>
        </w:rPr>
        <w:fldChar w:fldCharType="end"/>
      </w:r>
      <w:r>
        <w:rPr/>
        <w:t>. Устройство использует операторы умножения и низкочастотные фильтры, выдает мгновенную оценку частоты в реальном времени</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1%8B%D1%80%D0%B0%D0%B6%D0%B5%D0%BD%D0%B8%D1%8F%D0%BC%D0%B8%2C%20%D0%BF%D1%80%D0%B8%20%D1%8D%D1%82%D0%BE%D0%BC%20%D0%BE%D1%86%D0%B5%D0%BD%D0%BA%D1%83%20%D1%87%D0%B0%D1%81%D1%82%D0%BE%D1%82%D1%8B"</w:instrText>
      </w:r>
      <w:r>
        <w:rPr>
          <w:rStyle w:val="Hyperlink"/>
        </w:rPr>
        <w:fldChar w:fldCharType="separate"/>
      </w:r>
      <w:r>
        <w:rPr>
          <w:rStyle w:val="Hyperlink"/>
        </w:rPr>
        <w:t>[11]</w:t>
      </w:r>
      <w:r>
        <w:rPr>
          <w:rStyle w:val="Hyperlink"/>
        </w:rPr>
        <w:fldChar w:fldCharType="end"/>
      </w:r>
      <w:r>
        <w:rPr/>
        <w:t>. Это узко специализированный алгоритм фазового отслеживания (ФАПЧ-подход)</w:t>
      </w:r>
      <w:r>
        <w:rPr>
          <w:lang w:val="en-US"/>
        </w:rPr>
        <w:t>;</w:t>
      </w:r>
    </w:p>
    <w:p>
      <w:pPr>
        <w:pStyle w:val="BodyText"/>
        <w:rPr/>
      </w:pPr>
      <w:r>
        <w:rPr>
          <w:b/>
          <w:bCs/>
        </w:rPr>
        <w:t>- RU2229139C1 (2004):</w:t>
      </w:r>
      <w:r>
        <w:rPr/>
        <w:t xml:space="preserve"> предлагается способ спектрального анализа сложного периодического сигнала: перемножение анализируемого сигнала с бинарным опорным, суммирование результатов за период и поиск максимума постоянной составляющей </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 xml:space="preserve">. Это снижает время анализа за счет перебора фаз опорного сигнала. Метод позволяет определить частоту и амплитуду гармоник </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b/>
          <w:bCs/>
        </w:rPr>
        <w:t>- SU 1709262 (1992, СССР):</w:t>
      </w:r>
      <w:r>
        <w:rPr/>
        <w:t xml:space="preserve"> «Калибратор периодических сигналов» (Живилов) – аппарат для генерации синусоидальных и шумоподобных сигналов. Скорее генератор, чем измеритель, но показывает интерес к периодическим сигналам;</w:t>
      </w:r>
    </w:p>
    <w:p>
      <w:pPr>
        <w:pStyle w:val="BodyText"/>
        <w:rPr/>
      </w:pPr>
      <w:r>
        <w:rPr>
          <w:b/>
          <w:bCs/>
        </w:rPr>
        <w:t>- RU2365924 (2009):</w:t>
      </w:r>
      <w:r>
        <w:rPr/>
        <w:t xml:space="preserve"> (описание на сайте allpatents) – способ измерения средней частоты периодических сигналов; детали неясны из открытых источников;</w:t>
      </w:r>
    </w:p>
    <w:p>
      <w:pPr>
        <w:pStyle w:val="BodyText"/>
        <w:rPr>
          <w:b/>
          <w:bCs/>
        </w:rPr>
      </w:pPr>
      <w:r>
        <w:rPr>
          <w:b/>
          <w:bCs/>
        </w:rPr>
        <w:t>- RU2740790 (2019?):</w:t>
      </w:r>
      <w:r>
        <w:rPr/>
        <w:t xml:space="preserve"> (по фрагментам поиска) – фокусируется на фазовой оценке в шуме (повышение точности фазовых измерений многочастотных сигналов). Указывает, что именно проблема наличия шумов актуальна;</w:t>
      </w:r>
    </w:p>
    <w:p>
      <w:pPr>
        <w:pStyle w:val="BodyText"/>
        <w:rPr/>
      </w:pPr>
      <w:r>
        <w:rPr/>
        <w:t>Так же, в открытом доступе много различных коммерческих осциллографов, однако необходимо отметить – осциллографы решают проблему измерения формы сигнала и являются универсальным самостоятельным диагностическим инструментом для человека. В данной работе рассматривается устройство, которое можно встроить в любую установку и использовать в составе этой установке. То есть человеко-машинный интерфейс не нужен, а вот функциональность нужна.</w:t>
      </w:r>
    </w:p>
    <w:p>
      <w:pPr>
        <w:pStyle w:val="BodyText"/>
        <w:rPr/>
      </w:pPr>
      <w:r>
        <w:rPr/>
        <w:t>По результатам поиска, патентов и готовых продуктов, специально заточенных на измерение амплитуды и частоты в присутствии помех (кроме генераторов/осциллографов), практически нет. Большинство публикаций и патентов предлагают лишь отдельные методы обработки или генерации сигналов</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[11]</w:t>
      </w:r>
      <w:r>
        <w:rPr>
          <w:rStyle w:val="Hyperlink"/>
        </w:rPr>
        <w:fldChar w:fldCharType="end"/>
      </w:r>
      <w:r>
        <w:rPr/>
        <w:t>.</w:t>
      </w:r>
    </w:p>
    <w:p>
      <w:pPr>
        <w:pStyle w:val="BodyText"/>
        <w:rPr/>
      </w:pPr>
      <w:r>
        <w:rPr/>
        <w:t>В таблице ниже приведено сравнение найденных патентов и прототипов:</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364"/>
        <w:gridCol w:w="4013"/>
        <w:gridCol w:w="3194"/>
      </w:tblGrid>
      <w:tr>
        <w:trPr>
          <w:tblHeader w:val="true"/>
        </w:trPr>
        <w:tc>
          <w:tcPr>
            <w:tcW w:w="2364" w:type="dxa"/>
            <w:tcBorders>
              <w:bottom w:val="single" w:sz="6" w:space="0" w:color="000000"/>
            </w:tcBorders>
            <w:shd w:color="auto" w:fill="auto" w:val="clear"/>
            <w:vAlign w:val="bottom"/>
          </w:tcPr>
          <w:p>
            <w:pPr>
              <w:pStyle w:val="Compact"/>
              <w:spacing w:before="36" w:after="36"/>
              <w:rPr/>
            </w:pPr>
            <w:r>
              <w:rPr/>
              <w:t>Патент/устройство</w:t>
            </w:r>
          </w:p>
        </w:tc>
        <w:tc>
          <w:tcPr>
            <w:tcW w:w="4013" w:type="dxa"/>
            <w:tcBorders>
              <w:bottom w:val="single" w:sz="6" w:space="0" w:color="000000"/>
            </w:tcBorders>
            <w:shd w:color="auto" w:fill="auto" w:val="clear"/>
            <w:vAlign w:val="bottom"/>
          </w:tcPr>
          <w:p>
            <w:pPr>
              <w:pStyle w:val="Compact"/>
              <w:spacing w:before="36" w:after="36"/>
              <w:rPr/>
            </w:pPr>
            <w:r>
              <w:rPr/>
              <w:t>Суть решения</w:t>
            </w:r>
          </w:p>
        </w:tc>
        <w:tc>
          <w:tcPr>
            <w:tcW w:w="3194" w:type="dxa"/>
            <w:tcBorders>
              <w:bottom w:val="single" w:sz="6" w:space="0" w:color="000000"/>
            </w:tcBorders>
            <w:shd w:color="auto" w:fill="auto" w:val="clear"/>
            <w:vAlign w:val="bottom"/>
          </w:tcPr>
          <w:p>
            <w:pPr>
              <w:pStyle w:val="Compact"/>
              <w:spacing w:before="36" w:after="36"/>
              <w:rPr/>
            </w:pPr>
            <w:r>
              <w:rPr/>
              <w:t>Комментарий</w:t>
            </w:r>
          </w:p>
        </w:tc>
      </w:tr>
      <w:tr>
        <w:trPr/>
        <w:tc>
          <w:tcPr>
            <w:tcW w:w="2364" w:type="dxa"/>
            <w:tcBorders/>
            <w:shd w:color="auto" w:fill="auto" w:val="clear"/>
          </w:tcPr>
          <w:p>
            <w:pPr>
              <w:pStyle w:val="Compact"/>
              <w:spacing w:before="36" w:after="36"/>
              <w:rPr/>
            </w:pPr>
            <w:r>
              <w:rPr/>
              <w:t>RU2183839C1 (2002)</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[11]</w:t>
            </w:r>
            <w:r>
              <w:rPr>
                <w:rStyle w:val="Hyperlink"/>
              </w:rPr>
              <w:fldChar w:fldCharType="end"/>
            </w:r>
          </w:p>
        </w:tc>
        <w:tc>
          <w:tcPr>
            <w:tcW w:w="4013" w:type="dxa"/>
            <w:tcBorders/>
            <w:shd w:color="auto" w:fill="auto" w:val="clear"/>
          </w:tcPr>
          <w:p>
            <w:pPr>
              <w:pStyle w:val="Compact"/>
              <w:spacing w:before="36" w:after="36"/>
              <w:rPr/>
            </w:pPr>
            <w:r>
              <w:rPr/>
              <w:t>Измерение частоты через фазовый метод с рекуррентными формулами; реализовано на составе умножители+ФНЧ</w:t>
            </w:r>
          </w:p>
        </w:tc>
        <w:tc>
          <w:tcPr>
            <w:tcW w:w="3194" w:type="dxa"/>
            <w:tcBorders/>
            <w:shd w:color="auto" w:fill="auto" w:val="clear"/>
          </w:tcPr>
          <w:p>
            <w:pPr>
              <w:pStyle w:val="Compact"/>
              <w:spacing w:before="36" w:after="36"/>
              <w:rPr/>
            </w:pPr>
            <w:r>
              <w:rPr/>
              <w:t>Высокая скорость оценки, но сложная схема ФАПЧ; фокус на частоте.</w:t>
            </w:r>
          </w:p>
        </w:tc>
      </w:tr>
      <w:tr>
        <w:trPr/>
        <w:tc>
          <w:tcPr>
            <w:tcW w:w="2364" w:type="dxa"/>
            <w:tcBorders/>
            <w:shd w:color="auto" w:fill="auto" w:val="clear"/>
          </w:tcPr>
          <w:p>
            <w:pPr>
              <w:pStyle w:val="Compact"/>
              <w:spacing w:before="36" w:after="36"/>
              <w:rPr/>
            </w:pPr>
            <w:r>
              <w:rPr/>
              <w:t>RU2229139C1 (2004)</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p>
        </w:tc>
        <w:tc>
          <w:tcPr>
            <w:tcW w:w="4013" w:type="dxa"/>
            <w:tcBorders/>
            <w:shd w:color="auto" w:fill="auto" w:val="clear"/>
          </w:tcPr>
          <w:p>
            <w:pPr>
              <w:pStyle w:val="Compact"/>
              <w:spacing w:before="36" w:after="36"/>
              <w:rPr/>
            </w:pPr>
            <w:r>
              <w:rPr/>
              <w:t>Спектральный анализ сложных сигналов через перемножение с опорным сигналом (перебор фаз)</w:t>
            </w:r>
          </w:p>
        </w:tc>
        <w:tc>
          <w:tcPr>
            <w:tcW w:w="3194" w:type="dxa"/>
            <w:tcBorders/>
            <w:shd w:color="auto" w:fill="auto" w:val="clear"/>
          </w:tcPr>
          <w:p>
            <w:pPr>
              <w:pStyle w:val="Compact"/>
              <w:spacing w:before="36" w:after="36"/>
              <w:rPr/>
            </w:pPr>
            <w:r>
              <w:rPr/>
              <w:t>Ускоряет расчет спектра за счет бинарного опорного; ориентирован на анализ спектра.</w:t>
            </w:r>
          </w:p>
        </w:tc>
      </w:tr>
      <w:tr>
        <w:trPr/>
        <w:tc>
          <w:tcPr>
            <w:tcW w:w="2364" w:type="dxa"/>
            <w:tcBorders/>
            <w:shd w:color="auto" w:fill="auto" w:val="clear"/>
          </w:tcPr>
          <w:p>
            <w:pPr>
              <w:pStyle w:val="Compact"/>
              <w:spacing w:before="36" w:after="36"/>
              <w:rPr/>
            </w:pPr>
            <w:r>
              <w:rPr/>
              <w:t>SU1709262 (1992)</w:t>
            </w:r>
          </w:p>
        </w:tc>
        <w:tc>
          <w:tcPr>
            <w:tcW w:w="4013" w:type="dxa"/>
            <w:tcBorders/>
            <w:shd w:color="auto" w:fill="auto" w:val="clear"/>
          </w:tcPr>
          <w:p>
            <w:pPr>
              <w:pStyle w:val="Compact"/>
              <w:spacing w:before="36" w:after="36"/>
              <w:rPr/>
            </w:pPr>
            <w:r>
              <w:rPr/>
              <w:t>Генератор / калибратор периодических сигналов</w:t>
            </w:r>
          </w:p>
        </w:tc>
        <w:tc>
          <w:tcPr>
            <w:tcW w:w="3194" w:type="dxa"/>
            <w:tcBorders/>
            <w:shd w:color="auto" w:fill="auto" w:val="clear"/>
          </w:tcPr>
          <w:p>
            <w:pPr>
              <w:pStyle w:val="Compact"/>
              <w:spacing w:before="36" w:after="36"/>
              <w:rPr/>
            </w:pPr>
            <w:r>
              <w:rPr/>
              <w:t>Генерация эталонных сигналов (синусоид, шумов), не измеритель.</w:t>
            </w:r>
          </w:p>
        </w:tc>
      </w:tr>
      <w:tr>
        <w:trPr/>
        <w:tc>
          <w:tcPr>
            <w:tcW w:w="2364" w:type="dxa"/>
            <w:tcBorders/>
            <w:shd w:color="auto" w:fill="auto" w:val="clear"/>
          </w:tcPr>
          <w:p>
            <w:pPr>
              <w:pStyle w:val="Compact"/>
              <w:spacing w:before="36" w:after="36"/>
              <w:rPr/>
            </w:pPr>
            <w:r>
              <w:rPr/>
              <w:t>RU2365924 (2009)</w:t>
            </w:r>
          </w:p>
        </w:tc>
        <w:tc>
          <w:tcPr>
            <w:tcW w:w="4013" w:type="dxa"/>
            <w:tcBorders/>
            <w:shd w:color="auto" w:fill="auto" w:val="clear"/>
          </w:tcPr>
          <w:p>
            <w:pPr>
              <w:pStyle w:val="Compact"/>
              <w:spacing w:before="36" w:after="36"/>
              <w:rPr/>
            </w:pPr>
            <w:r>
              <w:rPr/>
              <w:t>Измерение средней частоты периодических сигналов</w:t>
            </w:r>
          </w:p>
        </w:tc>
        <w:tc>
          <w:tcPr>
            <w:tcW w:w="3194" w:type="dxa"/>
            <w:tcBorders/>
            <w:shd w:color="auto" w:fill="auto" w:val="clear"/>
          </w:tcPr>
          <w:p>
            <w:pPr>
              <w:pStyle w:val="Compact"/>
              <w:spacing w:before="36" w:after="36"/>
              <w:rPr/>
            </w:pPr>
            <w:r>
              <w:rPr/>
              <w:t>Подробностей нет (типа прямой метод счета), заявлено ЦИ-техникой.</w:t>
            </w:r>
          </w:p>
        </w:tc>
      </w:tr>
      <w:tr>
        <w:trPr/>
        <w:tc>
          <w:tcPr>
            <w:tcW w:w="2364" w:type="dxa"/>
            <w:tcBorders/>
            <w:shd w:color="auto" w:fill="auto" w:val="clear"/>
          </w:tcPr>
          <w:p>
            <w:pPr>
              <w:pStyle w:val="Compact"/>
              <w:spacing w:before="36" w:after="36"/>
              <w:rPr/>
            </w:pPr>
            <w:r>
              <w:rPr/>
              <w:t>Коммерческие приборы</w:t>
            </w:r>
          </w:p>
        </w:tc>
        <w:tc>
          <w:tcPr>
            <w:tcW w:w="4013" w:type="dxa"/>
            <w:tcBorders/>
            <w:shd w:color="auto" w:fill="auto" w:val="clear"/>
          </w:tcPr>
          <w:p>
            <w:pPr>
              <w:pStyle w:val="Compact"/>
              <w:spacing w:before="36" w:after="36"/>
              <w:rPr/>
            </w:pPr>
            <w:r>
              <w:rPr/>
              <w:t>Осциллографы / анализаторы спектра (Tektronix, Agilent)</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[12]</w:t>
            </w:r>
            <w:r>
              <w:rPr>
                <w:rStyle w:val="Hyperlink"/>
              </w:rPr>
              <w:fldChar w:fldCharType="end"/>
            </w:r>
          </w:p>
        </w:tc>
        <w:tc>
          <w:tcPr>
            <w:tcW w:w="3194" w:type="dxa"/>
            <w:tcBorders/>
            <w:shd w:color="auto" w:fill="auto" w:val="clear"/>
          </w:tcPr>
          <w:p>
            <w:pPr>
              <w:pStyle w:val="Compact"/>
              <w:spacing w:before="36" w:after="36"/>
              <w:rPr/>
            </w:pPr>
            <w:r>
              <w:rPr/>
              <w:t>Готовые системы сбора и анализа сигналов; стоят дорого и крупны.</w:t>
            </w:r>
          </w:p>
        </w:tc>
      </w:tr>
    </w:tbl>
    <w:p>
      <w:pPr>
        <w:pStyle w:val="BodyText"/>
        <w:rPr/>
      </w:pPr>
      <w:r>
        <w:rPr/>
        <w:t>(Примечание: источники – описания патентов и спецификации).</w:t>
      </w:r>
    </w:p>
    <w:p>
      <w:pPr>
        <w:pStyle w:val="Heading2"/>
        <w:rPr/>
      </w:pPr>
      <w:bookmarkStart w:id="8" w:name="__RefHeading___Toc2167_1929968905"/>
      <w:bookmarkEnd w:id="8"/>
      <w:r>
        <w:rPr/>
        <w:t>8. Рекомендованный объем экспериментальной проверки</w:t>
      </w:r>
    </w:p>
    <w:p>
      <w:pPr>
        <w:pStyle w:val="BodyText"/>
        <w:rPr/>
      </w:pPr>
      <w:r>
        <w:rPr/>
        <w:t>Для проверки и подтверждения результатов исследований предлагается следующий экспериментальный план:</w:t>
      </w:r>
    </w:p>
    <w:p>
      <w:pPr>
        <w:pStyle w:val="BodyText"/>
        <w:rPr/>
      </w:pPr>
      <w:r>
        <w:rPr>
          <w:b/>
          <w:bCs/>
        </w:rPr>
        <w:t>Тестовые сигналы:</w:t>
      </w:r>
      <w:r>
        <w:rPr/>
        <w:t xml:space="preserve"> Использовать несколько видов периодических сигналов (синусоида, прямоугольник, треугольник) на разных частотах (например, 1 кГц – 100 кГц). Для каждого генерировать сигнал стабильного уровня.</w:t>
      </w:r>
    </w:p>
    <w:p>
      <w:pPr>
        <w:pStyle w:val="BodyText"/>
        <w:rPr/>
      </w:pPr>
      <w:r>
        <w:rPr>
          <w:b/>
          <w:bCs/>
        </w:rPr>
        <w:t>Модуляция помехами:</w:t>
      </w:r>
      <w:r>
        <w:rPr/>
        <w:t xml:space="preserve"> Подавать на вход устройства контролируемые помехи:</w:t>
      </w:r>
    </w:p>
    <w:p>
      <w:pPr>
        <w:pStyle w:val="BodyText"/>
        <w:rPr/>
      </w:pPr>
      <w:r>
        <w:rPr/>
        <w:t>аддитивный белый шум с разной амплитудой (менять SNR от, скажем, 0 до 40 дБ),</w:t>
      </w:r>
    </w:p>
    <w:p>
      <w:pPr>
        <w:pStyle w:val="BodyText"/>
        <w:rPr/>
      </w:pPr>
      <w:r>
        <w:rPr/>
        <w:t>узкополосные помехи (синусоиды сторонних частот),</w:t>
      </w:r>
    </w:p>
    <w:p>
      <w:pPr>
        <w:pStyle w:val="BodyText"/>
        <w:rPr/>
      </w:pPr>
      <w:r>
        <w:rPr/>
        <w:t>импульсные помехи (короткие выбросы).</w:t>
      </w:r>
    </w:p>
    <w:p>
      <w:pPr>
        <w:pStyle w:val="BodyText"/>
        <w:rPr/>
      </w:pPr>
      <w:r>
        <w:rPr>
          <w:b/>
          <w:bCs/>
        </w:rPr>
        <w:t>- Измерение погрешностей:</w:t>
      </w:r>
      <w:r>
        <w:rPr/>
        <w:t xml:space="preserve"> Сравнить измеренные системой амплитуды и частоты с эталонными. Построить графики погрешности vs SNR, vs уровень импульсных выбросов. Оценить стабильность измерения при длинном интегрировании (усреднении гистограммы);</w:t>
      </w:r>
    </w:p>
    <w:p>
      <w:pPr>
        <w:pStyle w:val="BodyText"/>
        <w:rPr>
          <w:lang w:val="en-US"/>
        </w:rPr>
      </w:pPr>
      <w:r>
        <w:rPr>
          <w:b/>
          <w:bCs/>
        </w:rPr>
        <w:t>- Сравнение методов:</w:t>
      </w:r>
      <w:r>
        <w:rPr/>
        <w:t xml:space="preserve"> Для оценки эффективности алгоритмов можно реализовать несколько стратегий на ПК: чистый FFT-анализ, метод корреляции, гистограммный. Сопоставить их результаты по точности и скорости вычисления</w:t>
      </w:r>
      <w:r>
        <w:rPr>
          <w:lang w:val="en-US"/>
        </w:rPr>
        <w:t>;</w:t>
      </w:r>
    </w:p>
    <w:p>
      <w:pPr>
        <w:pStyle w:val="BodyText"/>
        <w:rPr/>
      </w:pPr>
      <w:r>
        <w:rPr>
          <w:b/>
          <w:bCs/>
        </w:rPr>
        <w:t>- Тест погрешностей:</w:t>
      </w:r>
      <w:r>
        <w:rPr/>
        <w:t xml:space="preserve"> Измерить собственный шум системы (ждущий режим) и погрешность АЦП (шум квантования, привод), чтобы отделить ошибки алгоритма от аппаратных.</w:t>
      </w:r>
    </w:p>
    <w:p>
      <w:pPr>
        <w:pStyle w:val="BodyText"/>
        <w:rPr/>
      </w:pPr>
      <w:r>
        <w:rPr>
          <w:b/>
          <w:bCs/>
        </w:rPr>
        <w:t>- Интеграция в проект «Кристалл»:</w:t>
      </w:r>
      <w:r>
        <w:rPr/>
        <w:t xml:space="preserve"> Проверить в реальном применении: интегрировать измерительный тракт в отладочную установку тестирования микросхем («кристалл»), как было сделано в коммерческой версии проекта. Оценить надежность в рабочей среде (температура, электропомехи корпуса и т.д.);</w:t>
      </w:r>
    </w:p>
    <w:p>
      <w:pPr>
        <w:pStyle w:val="BodyText"/>
        <w:rPr/>
      </w:pPr>
      <w:r>
        <w:rPr>
          <w:b/>
          <w:bCs/>
        </w:rPr>
        <w:t>Требуемые компоненты и примерная стоимость:</w:t>
      </w:r>
      <w:r>
        <w:rPr/>
        <w:t xml:space="preserve"> Ниже приведена таблица с основными элементами макета (указанные цены ориентировочны, если неизвестно – «не указано»):</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728"/>
        <w:gridCol w:w="2008"/>
        <w:gridCol w:w="1828"/>
        <w:gridCol w:w="3006"/>
      </w:tblGrid>
      <w:tr>
        <w:trPr>
          <w:tblHeader w:val="true"/>
        </w:trPr>
        <w:tc>
          <w:tcPr>
            <w:tcW w:w="2728" w:type="dxa"/>
            <w:tcBorders>
              <w:bottom w:val="single" w:sz="6" w:space="0" w:color="000000"/>
            </w:tcBorders>
            <w:shd w:color="auto" w:fill="auto" w:val="clear"/>
            <w:vAlign w:val="bottom"/>
          </w:tcPr>
          <w:p>
            <w:pPr>
              <w:pStyle w:val="Compact"/>
              <w:spacing w:before="36" w:after="36"/>
              <w:rPr/>
            </w:pPr>
            <w:r>
              <w:rPr/>
              <w:t>Компонент</w:t>
            </w:r>
          </w:p>
        </w:tc>
        <w:tc>
          <w:tcPr>
            <w:tcW w:w="2008" w:type="dxa"/>
            <w:tcBorders>
              <w:bottom w:val="single" w:sz="6" w:space="0" w:color="000000"/>
            </w:tcBorders>
            <w:shd w:color="auto" w:fill="auto" w:val="clear"/>
            <w:vAlign w:val="bottom"/>
          </w:tcPr>
          <w:p>
            <w:pPr>
              <w:pStyle w:val="Compact"/>
              <w:spacing w:before="36" w:after="36"/>
              <w:rPr/>
            </w:pPr>
            <w:r>
              <w:rPr/>
              <w:t>Кол-во</w:t>
            </w:r>
          </w:p>
        </w:tc>
        <w:tc>
          <w:tcPr>
            <w:tcW w:w="1828" w:type="dxa"/>
            <w:tcBorders>
              <w:bottom w:val="single" w:sz="6" w:space="0" w:color="000000"/>
            </w:tcBorders>
            <w:shd w:color="auto" w:fill="auto" w:val="clear"/>
            <w:vAlign w:val="bottom"/>
          </w:tcPr>
          <w:p>
            <w:pPr>
              <w:pStyle w:val="Compact"/>
              <w:spacing w:before="36" w:after="36"/>
              <w:rPr/>
            </w:pPr>
            <w:r>
              <w:rPr/>
              <w:t>Примерная стоимость</w:t>
            </w:r>
          </w:p>
        </w:tc>
        <w:tc>
          <w:tcPr>
            <w:tcW w:w="3006" w:type="dxa"/>
            <w:tcBorders>
              <w:bottom w:val="single" w:sz="6" w:space="0" w:color="000000"/>
            </w:tcBorders>
            <w:shd w:color="auto" w:fill="auto" w:val="clear"/>
            <w:vAlign w:val="bottom"/>
          </w:tcPr>
          <w:p>
            <w:pPr>
              <w:pStyle w:val="Compact"/>
              <w:spacing w:before="36" w:after="36"/>
              <w:rPr/>
            </w:pPr>
            <w:r>
              <w:rPr/>
              <w:t>Примечание</w:t>
            </w:r>
          </w:p>
        </w:tc>
      </w:tr>
      <w:tr>
        <w:trPr/>
        <w:tc>
          <w:tcPr>
            <w:tcW w:w="2728" w:type="dxa"/>
            <w:tcBorders/>
            <w:shd w:color="auto" w:fill="auto" w:val="clear"/>
          </w:tcPr>
          <w:p>
            <w:pPr>
              <w:pStyle w:val="Compact"/>
              <w:spacing w:before="36" w:after="36"/>
              <w:rPr/>
            </w:pPr>
            <w:r>
              <w:rPr/>
              <w:t>МК STM32F407VGT6 (Cortex-M4)</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168</w:t>
            </w:r>
            <w:r>
              <w:rPr>
                <w:rFonts w:cs="Arial" w:ascii="Arial" w:hAnsi="Arial"/>
              </w:rPr>
              <w:t> </w:t>
            </w:r>
            <w:r>
              <w:rPr/>
              <w:t>МГц, 512 КБ Flash, LQFP100</w:t>
            </w:r>
            <w:r>
              <w:fldChar w:fldCharType="begin"/>
            </w:r>
            <w:r>
              <w:rPr>
                <w:rStyle w:val="Hyperlink"/>
              </w:rPr>
              <w:instrText xml:space="preserve"> HYPERLINK "https://www.st.com/resource/en/datasheet/dm00037051.pdf" \l ":~:text=Arm%C2%AE%20Cortex%C2%AE,wait%20state%20execution"</w:instrText>
            </w:r>
            <w:r>
              <w:rPr>
                <w:rStyle w:val="Hyperlink"/>
              </w:rPr>
              <w:fldChar w:fldCharType="separate"/>
            </w:r>
            <w:r>
              <w:rPr>
                <w:rStyle w:val="Hyperlink"/>
              </w:rPr>
              <w:t>[17]</w:t>
            </w:r>
            <w:r>
              <w:rPr>
                <w:rStyle w:val="Hyperlink"/>
              </w:rPr>
              <w:fldChar w:fldCharType="end"/>
            </w:r>
          </w:p>
        </w:tc>
      </w:tr>
      <w:tr>
        <w:trPr/>
        <w:tc>
          <w:tcPr>
            <w:tcW w:w="2728" w:type="dxa"/>
            <w:tcBorders/>
            <w:shd w:color="auto" w:fill="auto" w:val="clear"/>
          </w:tcPr>
          <w:p>
            <w:pPr>
              <w:pStyle w:val="Compact"/>
              <w:spacing w:before="36" w:after="36"/>
              <w:rPr/>
            </w:pPr>
            <w:r>
              <w:rPr/>
              <w:t>Внешний АЦП (Analog Devices)</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Высокоскоростной SAR ADC ~10-20 МГц</w:t>
            </w:r>
          </w:p>
        </w:tc>
      </w:tr>
      <w:tr>
        <w:trPr/>
        <w:tc>
          <w:tcPr>
            <w:tcW w:w="2728" w:type="dxa"/>
            <w:tcBorders/>
            <w:shd w:color="auto" w:fill="auto" w:val="clear"/>
          </w:tcPr>
          <w:p>
            <w:pPr>
              <w:pStyle w:val="Compact"/>
              <w:spacing w:before="36" w:after="36"/>
              <w:rPr/>
            </w:pPr>
            <w:r>
              <w:rPr/>
              <w:t>Тактовый генератор (кварц 25 МГц)</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опорного такта MCU/ADC</w:t>
            </w:r>
          </w:p>
        </w:tc>
      </w:tr>
      <w:tr>
        <w:trPr/>
        <w:tc>
          <w:tcPr>
            <w:tcW w:w="2728" w:type="dxa"/>
            <w:tcBorders/>
            <w:shd w:color="auto" w:fill="auto" w:val="clear"/>
          </w:tcPr>
          <w:p>
            <w:pPr>
              <w:pStyle w:val="Compact"/>
              <w:spacing w:before="36" w:after="36"/>
              <w:rPr/>
            </w:pPr>
            <w:r>
              <w:rPr/>
              <w:t>Операционный усилитель</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буферизации сигнала входа</w:t>
            </w:r>
          </w:p>
        </w:tc>
      </w:tr>
      <w:tr>
        <w:trPr/>
        <w:tc>
          <w:tcPr>
            <w:tcW w:w="2728" w:type="dxa"/>
            <w:tcBorders/>
            <w:shd w:color="auto" w:fill="auto" w:val="clear"/>
          </w:tcPr>
          <w:p>
            <w:pPr>
              <w:pStyle w:val="Compact"/>
              <w:spacing w:before="36" w:after="36"/>
              <w:rPr/>
            </w:pPr>
            <w:r>
              <w:rPr/>
              <w:t>Источник питания (3.3 В, 5 В)</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Регулируемый стабилизатор</w:t>
            </w:r>
          </w:p>
        </w:tc>
      </w:tr>
      <w:tr>
        <w:trPr/>
        <w:tc>
          <w:tcPr>
            <w:tcW w:w="2728" w:type="dxa"/>
            <w:tcBorders/>
            <w:shd w:color="auto" w:fill="auto" w:val="clear"/>
          </w:tcPr>
          <w:p>
            <w:pPr>
              <w:pStyle w:val="Compact"/>
              <w:spacing w:before="36" w:after="36"/>
              <w:rPr/>
            </w:pPr>
            <w:r>
              <w:rPr/>
              <w:t>Схема ввода/защиты (резистор, диод)</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Защита входа АЦП</w:t>
            </w:r>
          </w:p>
        </w:tc>
      </w:tr>
      <w:tr>
        <w:trPr/>
        <w:tc>
          <w:tcPr>
            <w:tcW w:w="2728" w:type="dxa"/>
            <w:tcBorders/>
            <w:shd w:color="auto" w:fill="auto" w:val="clear"/>
          </w:tcPr>
          <w:p>
            <w:pPr>
              <w:pStyle w:val="Compact"/>
              <w:spacing w:before="36" w:after="36"/>
              <w:rPr/>
            </w:pPr>
            <w:r>
              <w:rPr/>
              <w:t>USB-UART конвертер или Ethernet PHY</w:t>
            </w:r>
          </w:p>
        </w:tc>
        <w:tc>
          <w:tcPr>
            <w:tcW w:w="2008" w:type="dxa"/>
            <w:tcBorders/>
            <w:shd w:color="auto" w:fill="auto" w:val="clear"/>
          </w:tcPr>
          <w:p>
            <w:pPr>
              <w:pStyle w:val="Compact"/>
              <w:spacing w:before="36" w:after="36"/>
              <w:rPr/>
            </w:pPr>
            <w:r>
              <w:rPr/>
              <w:t>по необходимости</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передачи данных на ПК</w:t>
            </w:r>
          </w:p>
        </w:tc>
      </w:tr>
      <w:tr>
        <w:trPr/>
        <w:tc>
          <w:tcPr>
            <w:tcW w:w="2728" w:type="dxa"/>
            <w:tcBorders/>
            <w:shd w:color="auto" w:fill="auto" w:val="clear"/>
          </w:tcPr>
          <w:p>
            <w:pPr>
              <w:pStyle w:val="Compact"/>
              <w:spacing w:before="36" w:after="36"/>
              <w:rPr/>
            </w:pPr>
            <w:r>
              <w:rPr/>
              <w:t>Печатная плата (PCB)</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Макетная плата с разводкой</w:t>
            </w:r>
          </w:p>
        </w:tc>
      </w:tr>
    </w:tbl>
    <w:p>
      <w:pPr>
        <w:pStyle w:val="BodyText"/>
        <w:rPr/>
      </w:pPr>
      <w:r>
        <w:rPr/>
        <w:t>Источник: составлено автором (цены ориентировочные).</w:t>
      </w:r>
    </w:p>
    <w:p>
      <w:pPr>
        <w:pStyle w:val="BodyText"/>
        <w:rPr>
          <w:highlight w:val="magenta"/>
        </w:rPr>
      </w:pPr>
      <w:r>
        <w:rPr>
          <w:highlight w:val="magenta"/>
        </w:rPr>
        <w:t>Рекомендуемые рисунки (для включения):</w:t>
      </w:r>
    </w:p>
    <w:p>
      <w:pPr>
        <w:pStyle w:val="BodyText"/>
        <w:rPr>
          <w:highlight w:val="magenta"/>
        </w:rPr>
      </w:pPr>
      <w:r>
        <w:rPr>
          <w:i/>
          <w:iCs/>
          <w:highlight w:val="magenta"/>
        </w:rPr>
        <w:t>Блочная схема измерительного тракта:</w:t>
      </w:r>
      <w:r>
        <w:rPr>
          <w:highlight w:val="magenta"/>
        </w:rPr>
        <w:t xml:space="preserve"> входное согласование – АЦП – MCU – интерфейс – ПК.</w:t>
      </w:r>
    </w:p>
    <w:p>
      <w:pPr>
        <w:pStyle w:val="BodyText"/>
        <w:rPr>
          <w:highlight w:val="magenta"/>
        </w:rPr>
      </w:pPr>
      <w:r>
        <w:rPr>
          <w:i/>
          <w:iCs/>
          <w:highlight w:val="magenta"/>
        </w:rPr>
        <w:t>Пример гистограммы сигнала с помехой:</w:t>
      </w:r>
      <w:r>
        <w:rPr>
          <w:highlight w:val="magenta"/>
        </w:rPr>
        <w:t xml:space="preserve"> показ центрального пика и двух боковых (границы размаха).</w:t>
      </w:r>
    </w:p>
    <w:p>
      <w:pPr>
        <w:pStyle w:val="BodyText"/>
        <w:rPr>
          <w:highlight w:val="magenta"/>
        </w:rPr>
      </w:pPr>
      <w:r>
        <w:rPr>
          <w:i/>
          <w:iCs/>
          <w:highlight w:val="magenta"/>
        </w:rPr>
        <w:t>Графики влияния шума:</w:t>
      </w:r>
      <w:r>
        <w:rPr>
          <w:highlight w:val="magenta"/>
        </w:rPr>
        <w:t xml:space="preserve"> например, «погрешность измерения частоты vs SNR» или «амплитуда пика гистограммы vs уровень шума».</w:t>
      </w:r>
    </w:p>
    <w:p>
      <w:pPr>
        <w:pStyle w:val="BodyText"/>
        <w:rPr/>
      </w:pPr>
      <w:r>
        <w:rPr>
          <w:highlight w:val="magenta"/>
        </w:rPr>
        <w:t>(Если есть подходящие иллюстрации, их имеет смысл включить для наглядности.)</w:t>
      </w:r>
    </w:p>
    <w:p>
      <w:pPr>
        <w:pStyle w:val="BodyText"/>
        <w:rPr/>
      </w:pPr>
      <w:r>
        <w:rPr>
          <w:b/>
          <w:bCs/>
        </w:rPr>
        <w:t>Выводы главы:</w:t>
      </w:r>
      <w:r>
        <w:rPr/>
        <w:t xml:space="preserve"> Периодические сигналы широко применяются в радиоэлектронике и требовательны к качеству измерения в условиях шума. Множество методов измерения имеют свои преимущества и недостатки: аналоговые решения дешевы, но ограничены; цифровые даю гибкость, но требуют серьезной ЭВМ и высокой скорости выборки. Выбранный метод – оцифровка высокоскоростным АЦП и гистограммный/цифровой анализ на STM32F407+ПК – обеспечивает баланс «цена/производительность». Он позволяет стабильно извлекать амплитуду и частоту из зашумленного сигнала за счет большого числа отсчетов и мощной обработки. Результаты патентного поиска подтверждают, что эта комбинация аппаратного ускорителя (высокоскоростной АЦП) и программной гибкости – уникальна среди публично известных решений (за исключением лабораторных осциллографов)</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[12]</w:t>
      </w:r>
      <w:r>
        <w:rPr>
          <w:rStyle w:val="Hyperlink"/>
        </w:rPr>
        <w:fldChar w:fldCharType="end"/>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r>
      <w:r>
        <w:br w:type="page"/>
      </w:r>
    </w:p>
    <w:p>
      <w:pPr>
        <w:pStyle w:val="Heading1"/>
        <w:numPr>
          <w:ilvl w:val="0"/>
          <w:numId w:val="1"/>
        </w:numPr>
        <w:spacing w:before="0" w:after="0"/>
        <w:ind w:firstLine="709"/>
        <w:rPr/>
      </w:pPr>
      <w:bookmarkStart w:id="9" w:name="__RefHeading___Toc229529023"/>
      <w:bookmarkEnd w:id="9"/>
      <w:r>
        <w:rPr/>
        <w:t>2. ПРЕДЛАГАЕМЫЕ СПОСОБЫ РЕШЕНИЯ ПРОБЛЕМЫ</w:t>
      </w:r>
    </w:p>
    <w:p>
      <w:pPr>
        <w:pStyle w:val="BodyText"/>
        <w:ind w:firstLine="709"/>
        <w:rPr/>
      </w:pPr>
      <w:r>
        <w:rPr/>
      </w:r>
    </w:p>
    <w:p>
      <w:pPr>
        <w:pStyle w:val="BodyText"/>
        <w:rPr/>
      </w:pPr>
      <w:r>
        <w:rPr/>
        <w:t xml:space="preserve">В этой главе рассмотрены возможные аппаратно-программные методы измерения амплитуды и частоты периодических сигналов в условиях помех. </w:t>
      </w:r>
      <w:r>
        <w:rPr>
          <w:b w:val="false"/>
          <w:bCs w:val="false"/>
        </w:rPr>
        <w:t>Раскрываются аналоговые методы (компараторы, триггер Шмитта, частотомеры, ФАПЧ, детекторы огибающей) и цифровые методы (оцифровка ADC+МК, FFT-анализ, определение по нулевым пересечениям, корреляция, гистограммный анализ, согласованный фильтр), а также специализированные FPGA/DSP-системы и</w:t>
      </w:r>
      <w:r>
        <w:rPr/>
        <w:t xml:space="preserve"> коммерческие приборы (осциллографы, анализаторы спектра). Для каждого способа описаны принцип действия, математическая модель (где применимо), сложность реализации, стоимость компонентов (если известна), требования к вычислениям и задержкам, устойчивость к шуму (влияние SNR, джиттера) и гибкость алгоритмов. Приведен обзор патентов (5–10) по измерению параметров периодических сигналов в шуме и сравнительная таблица. Даны два сводных сравнения: методы-критерии (сложность, стоимость, возможности обработки, гибкость, помехоустойчивость, точность) и варианты реализации (аналого-цифровое сравнение вариантов A–C). Подробно описан выбранный подход (STM32F407 + АЦП 18.6 MSPS, гистограмма амплитуд, подсчет среднего числа отсчетов на период) с указанием ожидаемой производительности и ограничений. Рассмотрены алгоритмы гистограммного анализа (псевдокод, сложность, статистика оценок при гауссовом и импульсном шуме) и альтернативные методы (FFT, корреляция). Приведена матрица решений под разные задачи (низкая цена, лабораторное исследование, реальное время) и план экспериментальной проверки (тестовые сигналы, метрики погрешностей, SNR-диапазон).</w:t>
      </w:r>
    </w:p>
    <w:p>
      <w:pPr>
        <w:pStyle w:val="BodyText"/>
        <w:rPr/>
      </w:pPr>
      <w:r>
        <w:rPr/>
      </w:r>
    </w:p>
    <w:p>
      <w:pPr>
        <w:pStyle w:val="Heading2"/>
        <w:rPr/>
      </w:pPr>
      <w:bookmarkStart w:id="10" w:name="__RefHeading___Toc2169_1929968905"/>
      <w:bookmarkEnd w:id="10"/>
      <w:r>
        <w:rPr/>
        <w:t>2.1 Аналоговые методы</w:t>
      </w:r>
    </w:p>
    <w:p>
      <w:pPr>
        <w:pStyle w:val="BodyText"/>
        <w:rPr/>
      </w:pPr>
      <w:r>
        <w:rPr>
          <w:b w:val="false"/>
          <w:bCs w:val="false"/>
        </w:rPr>
        <w:t xml:space="preserve">Компаратор и пороговый детектор: </w:t>
      </w:r>
      <w:r>
        <w:rPr/>
        <w:t>Простейший способ – задать входу фиксированный порог (используя дифференциальный усилитель или компаратор) и формировать прямоугольные импульсы фронтов периода сигнала. Из числа таких импульсов за время $T_{\text{измер}}$ вычисляют частоту $f=N/T_{\text{измер}}$</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Минимальная сложность (достаточно одного ОУ или компаратора) и очень низкая стоимость. </w:t>
      </w:r>
      <w:r>
        <w:rPr>
          <w:i/>
          <w:iCs/>
        </w:rPr>
        <w:t>Недостаток:</w:t>
      </w:r>
      <w:r>
        <w:rPr/>
        <w:t xml:space="preserve"> сильная чувствительность к шуму на входе: шумовой импульс может вызвать ложный фронт, смещая счет. Разрешающая способность определяется стабильностью базового времени и количеством отсчетов (количество импульсов). Для простых гармоник метод работает быстро, но не позволяет оценивать форму сигнала, только частоту.</w:t>
      </w:r>
    </w:p>
    <w:p>
      <w:pPr>
        <w:pStyle w:val="BodyText"/>
        <w:rPr/>
      </w:pPr>
      <w:r>
        <w:rPr>
          <w:b w:val="false"/>
          <w:bCs w:val="false"/>
        </w:rPr>
        <w:t>Триггер Шмитта:</w:t>
      </w:r>
      <w:r>
        <w:rPr/>
        <w:t xml:space="preserve"> Улучшение компаратора – введение гистерезиса (два порога)</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[18]</w:t>
      </w:r>
      <w:r>
        <w:rPr>
          <w:rStyle w:val="Hyperlink"/>
        </w:rPr>
        <w:fldChar w:fldCharType="end"/>
      </w:r>
      <w:r>
        <w:rPr/>
        <w:t>. При этом цепь устойчиво меняет состояние только при преодолении верхнего/нижнего порогов, что «отсекает» мелкие шумовые наводки</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[18]</w:t>
      </w:r>
      <w:r>
        <w:rPr>
          <w:rStyle w:val="Hyperlink"/>
        </w:rPr>
        <w:fldChar w:fldCharType="end"/>
      </w:r>
      <w:r>
        <w:rPr/>
        <w:t xml:space="preserve">. Стоимость все еще невелика, схема чуть сложнее (несколько резисторов для гистерезиса), но повышается устойчивость к мелким помехам. </w:t>
      </w:r>
      <w:r>
        <w:rPr>
          <w:i/>
          <w:iCs/>
        </w:rPr>
        <w:t>Недостаток:</w:t>
      </w:r>
      <w:r>
        <w:rPr/>
        <w:t xml:space="preserve"> основные недостатки те же: фиксированный порог, чувствительность к большому джиттеру, ограничение на простые алгоритмы.</w:t>
      </w:r>
    </w:p>
    <w:p>
      <w:pPr>
        <w:pStyle w:val="BodyText"/>
        <w:rPr/>
      </w:pPr>
      <w:r>
        <w:rPr>
          <w:b w:val="false"/>
          <w:bCs w:val="false"/>
        </w:rPr>
        <w:t>Частотомер на прямом счете:</w:t>
      </w:r>
      <w:r>
        <w:rPr/>
        <w:t xml:space="preserve"> Стандартный способ (цифровой). Сигнал через формирователь (компаратор) подается на цифровой счетчик, который за фиксированное время $T_{\text{сч}}$ подсчитывает число импульсов $N$</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Тогда $f=N/T_{\text{сч}}$. Реализация требует источника точного такта (градуированного счетчика), но нет цифровой обработки формы сигнала. </w:t>
      </w:r>
      <w:r>
        <w:rPr>
          <w:i/>
          <w:iCs/>
        </w:rPr>
        <w:t>Плюс:</w:t>
      </w:r>
      <w:r>
        <w:rPr/>
        <w:t xml:space="preserve"> высокая точность при длительных измерениях, простота. </w:t>
      </w:r>
      <w:r>
        <w:rPr>
          <w:i/>
          <w:iCs/>
        </w:rPr>
        <w:t>Минус:</w:t>
      </w:r>
      <w:r>
        <w:rPr/>
        <w:t xml:space="preserve"> никаких метрик амплитуды, влияют шум и дребезг фронтов, разрешающая способность ~1/$T_{\text{сч}}$ (для улучшения нужно увеличивать время измерения и число бит счетчика).</w:t>
      </w:r>
    </w:p>
    <w:p>
      <w:pPr>
        <w:pStyle w:val="BodyText"/>
        <w:rPr/>
      </w:pPr>
      <w:r>
        <w:rPr>
          <w:b w:val="false"/>
          <w:bCs w:val="false"/>
        </w:rPr>
        <w:t xml:space="preserve">ФАПЧ (Phase-Locked Loop): </w:t>
      </w:r>
      <w:r>
        <w:rPr/>
        <w:t xml:space="preserve">Синхронизирует ВЧ-генератор (VCO) с исследуемым сигналом. По управляющему напряжению или счетчикам внутри ФАПЧ можно судить об отклонении частоты. </w:t>
      </w:r>
      <w:r>
        <w:rPr>
          <w:i/>
          <w:iCs/>
        </w:rPr>
        <w:t>Плюс:</w:t>
      </w:r>
      <w:r>
        <w:rPr/>
        <w:t xml:space="preserve"> автоматика подавляет некоторые шумы, можно генерировать чистый выход. </w:t>
      </w:r>
      <w:r>
        <w:rPr>
          <w:i/>
          <w:iCs/>
        </w:rPr>
        <w:t>Минус:</w:t>
      </w:r>
      <w:r>
        <w:rPr/>
        <w:t xml:space="preserve"> сложная схема (фазовый детектор, фильтр, генератор), низкая скорость реакции, измеряет лишь частоту. Большинство ФАПЧ-решений реализованы аппаратно (рис. синтезатора частоты); для прямого измерения параметров ФАПЧ не дает дополнительной информации об амплитуде или форме.</w:t>
      </w:r>
    </w:p>
    <w:p>
      <w:pPr>
        <w:pStyle w:val="BodyText"/>
        <w:rPr/>
      </w:pPr>
      <w:r>
        <w:rPr>
          <w:b w:val="false"/>
          <w:bCs w:val="false"/>
        </w:rPr>
        <w:t>Аналоговый детектор огибающей (энвелоп):</w:t>
      </w:r>
      <w:r>
        <w:rPr/>
        <w:t xml:space="preserve"> Часто используется в радиоприеме: сигнал выпрямляется (диод или операционный усилитель), сглаживается НЧ-фильтром – получается огибающая. Используется для оценки </w:t>
      </w:r>
      <w:r>
        <w:rPr>
          <w:i/>
          <w:iCs/>
        </w:rPr>
        <w:t>амплитуды</w:t>
      </w:r>
      <w:r>
        <w:rPr/>
        <w:t xml:space="preserve"> колебаний. Простейшие схемы стоят недорого и хорошо работают при медленном сигнале (низкой частоте относительно ответов элементов). </w:t>
      </w:r>
      <w:r>
        <w:rPr>
          <w:i/>
          <w:iCs/>
        </w:rPr>
        <w:t>Плюс:</w:t>
      </w:r>
      <w:r>
        <w:rPr/>
        <w:t xml:space="preserve"> простая оценка амплитуды без АЦП. </w:t>
      </w:r>
      <w:r>
        <w:rPr>
          <w:i/>
          <w:iCs/>
        </w:rPr>
        <w:t>Минус:</w:t>
      </w:r>
      <w:r>
        <w:rPr/>
        <w:t xml:space="preserve"> медленная реакция, нет оценки частоты, неустойчив при высокочастотных или импульсных помехах (диодный выпрямитель чувствителен к пиковым выбросам).</w:t>
      </w:r>
    </w:p>
    <w:p>
      <w:pPr>
        <w:pStyle w:val="BodyText"/>
        <w:rPr/>
      </w:pPr>
      <w:r>
        <w:rPr>
          <w:b w:val="false"/>
          <w:bCs w:val="false"/>
        </w:rPr>
        <w:t>Смарт-контроль (аналого-цифровой):</w:t>
      </w:r>
      <w:r>
        <w:rPr/>
        <w:t xml:space="preserve"> Сочетание описанных аналоговых фронтов и последующей выборки АЦП: например, сформировать компаратором «триггер» и использовать АЦП для измерения длительности или формы. Реализация сложнее, но предоставляет цифровой выход, который легко обрабатывать далее. Во многом переходит в категорию цифровых методов.</w:t>
      </w:r>
    </w:p>
    <w:p>
      <w:pPr>
        <w:pStyle w:val="BodyText"/>
        <w:rPr/>
      </w:pPr>
      <w:r>
        <w:rPr/>
        <w:t>Типич</w:t>
      </w:r>
      <w:r>
        <w:rPr>
          <w:b w:val="false"/>
          <w:bCs w:val="false"/>
        </w:rPr>
        <w:t xml:space="preserve">ные применения аналоговых методов: в дешевых встраиваемых системах для простой синхронизации, в </w:t>
      </w:r>
      <w:r>
        <w:rPr/>
        <w:t>устройствах реального времени с жесткими ограничениями по цене, когда нужна только «да-нет» обработка сигнала. Они мало подходят для анализа в шуме и требуют дополнительных средств фильтрации.</w:t>
      </w:r>
    </w:p>
    <w:p>
      <w:pPr>
        <w:pStyle w:val="BodyText"/>
        <w:rPr/>
      </w:pPr>
      <w:r>
        <w:rPr/>
      </w:r>
    </w:p>
    <w:p>
      <w:pPr>
        <w:pStyle w:val="Heading2"/>
        <w:rPr/>
      </w:pPr>
      <w:bookmarkStart w:id="11" w:name="__RefHeading___Toc2171_1929968905"/>
      <w:bookmarkEnd w:id="11"/>
      <w:r>
        <w:rPr/>
        <w:t>2.2 Цифровые методы</w:t>
      </w:r>
    </w:p>
    <w:p>
      <w:pPr>
        <w:pStyle w:val="BodyText"/>
        <w:rPr/>
      </w:pPr>
      <w:r>
        <w:rPr>
          <w:b w:val="false"/>
          <w:bCs w:val="false"/>
        </w:rPr>
        <w:t>Оцифровка (ADC) + микроконтроллер (STM32F407 и прочие): Исходный сигнал полностью оцифровывается (в нашем случае с частотой до 18.6 Мвыб/с). В качестве примера STM32F407 – устройство с 168 МГц CPU, имеющее три 12-битных АЦП до 2.4 MS/s (до 7.2 MS/s при трехканальном режиме)</w:t>
      </w:r>
      <w:r>
        <w:fldChar w:fldCharType="begin"/>
      </w:r>
      <w:r>
        <w:rPr>
          <w:rStyle w:val="Hyperlink"/>
          <w:b w:val="false"/>
          <w:bCs w:val="false"/>
        </w:rPr>
        <w:instrText xml:space="preserve"> HYPERLINK "https://www.st.com/resource/en/datasheet/dm00037051.pdf" \l ":~:text=%E2%80%A2%203%C3%9712,MSPS%20in%20triple%20interleaved%20mode"</w:instrText>
      </w:r>
      <w:r>
        <w:rPr>
          <w:rStyle w:val="Hyperlink"/>
          <w:b w:val="false"/>
          <w:bCs w:val="false"/>
        </w:rPr>
        <w:fldChar w:fldCharType="separate"/>
      </w:r>
      <w:r>
        <w:rPr>
          <w:rStyle w:val="Hyperlink"/>
          <w:b w:val="false"/>
          <w:bCs w:val="false"/>
        </w:rPr>
        <w:t>[17]</w:t>
      </w:r>
      <w:r>
        <w:rPr>
          <w:rStyle w:val="Hyperlink"/>
          <w:b w:val="false"/>
          <w:bCs w:val="false"/>
        </w:rPr>
        <w:fldChar w:fldCharType="end"/>
      </w:r>
      <w:r>
        <w:rPr>
          <w:b w:val="false"/>
          <w:bCs w:val="false"/>
        </w:rPr>
        <w:t>. Для 18.6 MS/s применяется внешний быстрый ADC (например, семейства Analog Devices)</w:t>
      </w:r>
      <w:r>
        <w:fldChar w:fldCharType="begin"/>
      </w:r>
      <w:r>
        <w:rPr>
          <w:rStyle w:val="Hyperlink"/>
          <w:b w:val="false"/>
          <w:bCs w:val="false"/>
        </w:rPr>
        <w:instrText xml:space="preserve"> HYPERLINK "https://www.analog.com/en/product-category/high-speed-adcs.html" \l ":~:text=Analog%20Devices%E2%80%99%20high%20speed%20analog,10%20MSPS%20to%20125%20MSPS"</w:instrText>
      </w:r>
      <w:r>
        <w:rPr>
          <w:rStyle w:val="Hyperlink"/>
          <w:b w:val="false"/>
          <w:bCs w:val="false"/>
        </w:rPr>
        <w:fldChar w:fldCharType="separate"/>
      </w:r>
      <w:r>
        <w:rPr>
          <w:rStyle w:val="Hyperlink"/>
          <w:b w:val="false"/>
          <w:bCs w:val="false"/>
        </w:rPr>
        <w:t>[19]</w:t>
      </w:r>
      <w:r>
        <w:rPr>
          <w:rStyle w:val="Hyperlink"/>
          <w:b w:val="false"/>
          <w:bCs w:val="false"/>
        </w:rPr>
        <w:fldChar w:fldCharType="end"/>
      </w:r>
      <w:r>
        <w:rPr>
          <w:b w:val="false"/>
          <w:bCs w:val="false"/>
        </w:rPr>
        <w:t>. В STM32 данные поступают через периферию (обычно DMA/триггер от таймера) без загрузки ядра.</w:t>
      </w:r>
    </w:p>
    <w:p>
      <w:pPr>
        <w:pStyle w:val="BodyText"/>
        <w:rPr>
          <w:b w:val="false"/>
          <w:bCs w:val="false"/>
        </w:rPr>
      </w:pPr>
      <w:r>
        <w:rPr>
          <w:b w:val="false"/>
          <w:bCs w:val="false"/>
          <w:i/>
          <w:iCs/>
        </w:rPr>
        <w:t>Возможности:</w:t>
      </w:r>
      <w:r>
        <w:rPr>
          <w:b w:val="false"/>
          <w:bCs w:val="false"/>
        </w:rPr>
        <w:t xml:space="preserve"> все данные сигнала доступны, можно применять любые цифровые алгоритмы на выбор: БПФ, корреляция, поиск пиков, статистические оценки и т.д. Гибкость максимальна (перепрограммирование алгоритма в ПО).</w:t>
      </w:r>
    </w:p>
    <w:p>
      <w:pPr>
        <w:pStyle w:val="BodyText"/>
        <w:rPr/>
      </w:pPr>
      <w:r>
        <w:rPr>
          <w:b w:val="false"/>
          <w:bCs w:val="false"/>
          <w:i/>
          <w:iCs/>
        </w:rPr>
        <w:t>Недостатки:</w:t>
      </w:r>
      <w:r>
        <w:rPr>
          <w:b w:val="false"/>
          <w:bCs w:val="false"/>
        </w:rPr>
        <w:t xml:space="preserve"> дорогая и сложная схема (высокоскоростной АЦП, схемотехника ввода); нагрузка на память и CPU при высоких скоростях. На STM32 при 18.6 MS/s поток данных (~18.6 млн отс/с * 1–2 байта/отсчет) требует пропускной способности ~37–75 МБ/с (не считая FIFO DMA). Однако STM32F4 поддерживает DMA и ФПЗ с плавающей запятой</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что позволяет выполнять часть обработки (свертки, простые БПФ) на самом контроллере.</w:t>
      </w:r>
    </w:p>
    <w:p>
      <w:pPr>
        <w:pStyle w:val="BodyText"/>
        <w:rPr/>
      </w:pPr>
      <w:r>
        <w:rPr>
          <w:b w:val="false"/>
          <w:bCs w:val="false"/>
          <w:i/>
          <w:iCs/>
        </w:rPr>
        <w:t>Применение:</w:t>
      </w:r>
      <w:r>
        <w:rPr>
          <w:b w:val="false"/>
          <w:bCs w:val="false"/>
        </w:rPr>
        <w:t xml:space="preserve"> универсальные приборы, осциллографы USB, SDR, встроенные анализаторы. Например, коммерческие цифровые осциллографы Tektronix 20 GS/s (см. ниже) – частный случай этого подхода</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[12]</w:t>
      </w:r>
      <w:r>
        <w:rPr>
          <w:rStyle w:val="Hyperlink"/>
          <w:b w:val="false"/>
          <w:bCs w:val="false"/>
        </w:rPr>
        <w:fldChar w:fldCharType="end"/>
      </w:r>
      <w:r>
        <w:rPr>
          <w:b w:val="false"/>
          <w:bCs w:val="false"/>
        </w:rPr>
        <w:t>. В нашем макете STM32F407 и быстрый ADC позволяют формировать гистограмму амплитуд и подсчитывать среднее число отсчетов в период без дополнительной дорогой логики.</w:t>
      </w:r>
    </w:p>
    <w:p>
      <w:pPr>
        <w:pStyle w:val="BodyText"/>
        <w:rPr/>
      </w:pPr>
      <w:r>
        <w:rPr>
          <w:b w:val="false"/>
          <w:bCs w:val="false"/>
        </w:rPr>
        <w:t>Быстрое преобразование Фурье (FFT): Преобразует N-отсчетный временной сигнал в спектр гармоник. Требует выборки фиксированного размера $N$ (с амплитудным окном или без). Разрешение по частоте $\Delta f = F_s/N$ (где $F_s$ – частота дискретизации). Алгоритм FFT эффективен (O(N log N))</w:t>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но для встроенного МК с CSiS-библиотекой уступает аппаратному решению. Например, FFT на STM32F407 FPU может выполнять преобразование для $N\sim1024\div4096$ за сотни тысяч тактов</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[20]</w:t>
      </w:r>
      <w:r>
        <w:rPr>
          <w:rStyle w:val="Hyperlink"/>
          <w:b w:val="false"/>
          <w:bCs w:val="false"/>
        </w:rPr>
        <w:fldChar w:fldCharType="end"/>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xml:space="preserve">. </w:t>
      </w:r>
      <w:r>
        <w:rPr>
          <w:b w:val="false"/>
          <w:bCs w:val="false"/>
          <w:i/>
          <w:iCs/>
        </w:rPr>
        <w:t>Плюс:</w:t>
      </w:r>
      <w:r>
        <w:rPr>
          <w:b w:val="false"/>
          <w:bCs w:val="false"/>
        </w:rPr>
        <w:t xml:space="preserve"> вычисляется полный спектр гармоник, легко получить частоту по максимуму спектра. </w:t>
      </w:r>
      <w:r>
        <w:rPr>
          <w:b w:val="false"/>
          <w:bCs w:val="false"/>
          <w:i/>
          <w:iCs/>
        </w:rPr>
        <w:t>Минус:</w:t>
      </w:r>
      <w:r>
        <w:rPr>
          <w:b w:val="false"/>
          <w:bCs w:val="false"/>
        </w:rPr>
        <w:t xml:space="preserve"> требуется собирать и обрабатывать большие массивы данных (занимает память $O(N)$), не дает мгновенных оценок (задержка = время записи $N$ отсчетов). Для устойчивости требуется оконная обработка (во избежание утечки спектра).</w:t>
      </w:r>
    </w:p>
    <w:p>
      <w:pPr>
        <w:pStyle w:val="BodyText"/>
        <w:rPr>
          <w:b w:val="false"/>
          <w:bCs w:val="false"/>
        </w:rPr>
      </w:pPr>
      <w:r>
        <w:rPr>
          <w:b w:val="false"/>
          <w:bCs w:val="false"/>
        </w:rPr>
        <w:t xml:space="preserve">Нулевые пересечения (Zero-Crossing): Измерение периодов по прохождению сигнала уровня нуля (или заданного уровня). Если сигнал чистый и синусоидальный, можно измерять интервалы между пересечениями (или фронтами), усредняя их. </w:t>
      </w:r>
      <w:r>
        <w:rPr>
          <w:b w:val="false"/>
          <w:bCs w:val="false"/>
          <w:i/>
          <w:iCs/>
        </w:rPr>
        <w:t>Плюс:</w:t>
      </w:r>
      <w:r>
        <w:rPr>
          <w:b w:val="false"/>
          <w:bCs w:val="false"/>
        </w:rPr>
        <w:t xml:space="preserve"> простая реализация (сигнал → компаратор → таймер). </w:t>
      </w:r>
      <w:r>
        <w:rPr>
          <w:b w:val="false"/>
          <w:bCs w:val="false"/>
          <w:i/>
          <w:iCs/>
        </w:rPr>
        <w:t>Минус:</w:t>
      </w:r>
      <w:r>
        <w:rPr>
          <w:b w:val="false"/>
          <w:bCs w:val="false"/>
        </w:rPr>
        <w:t xml:space="preserve"> при наличии гармоник и помех пересечения происходят в разных точках, даются разные времена (появляется джиттер). Для мультигармонических сигналов метод дает низкую точность. Устойчивость невысока: шум вызывает дрожание точек пересечения.</w:t>
      </w:r>
    </w:p>
    <w:p>
      <w:pPr>
        <w:pStyle w:val="BodyText"/>
        <w:rPr/>
      </w:pPr>
      <w:r>
        <w:rPr>
          <w:b w:val="false"/>
          <w:bCs w:val="false"/>
        </w:rPr>
        <w:t>Автокорреляция: Сигнал автокоррелируют с самим собой со сдвигом $\tau$. Для периодического сигнала автокорреляционная функция (АКФ) является периодической и показывает пики через каждый $T$</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[21]</w:t>
      </w:r>
      <w:r>
        <w:rPr>
          <w:rStyle w:val="Hyperlink"/>
          <w:b w:val="false"/>
          <w:bCs w:val="false"/>
        </w:rPr>
        <w:fldChar w:fldCharType="end"/>
      </w:r>
      <w:r>
        <w:rPr>
          <w:b w:val="false"/>
          <w:bCs w:val="false"/>
        </w:rPr>
        <w:t xml:space="preserve">. По положению первого максимума АКФ оценивают период сигнала. </w:t>
      </w:r>
      <w:r>
        <w:rPr>
          <w:b w:val="false"/>
          <w:bCs w:val="false"/>
          <w:i/>
          <w:iCs/>
        </w:rPr>
        <w:t>Плюс:</w:t>
      </w:r>
      <w:r>
        <w:rPr>
          <w:b w:val="false"/>
          <w:bCs w:val="false"/>
        </w:rPr>
        <w:t xml:space="preserve"> корректно находит период в шуме, хорошо работает для сигнала произвольной формы</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[21]</w:t>
      </w:r>
      <w:r>
        <w:rPr>
          <w:rStyle w:val="Hyperlink"/>
          <w:b w:val="false"/>
          <w:bCs w:val="false"/>
        </w:rPr>
        <w:fldChar w:fldCharType="end"/>
      </w:r>
      <w:r>
        <w:rPr>
          <w:b w:val="false"/>
          <w:bCs w:val="false"/>
        </w:rPr>
        <w:t xml:space="preserve">. </w:t>
      </w:r>
      <w:r>
        <w:rPr>
          <w:b w:val="false"/>
          <w:bCs w:val="false"/>
          <w:i/>
          <w:iCs/>
        </w:rPr>
        <w:t>Минус:</w:t>
      </w:r>
      <w:r>
        <w:rPr>
          <w:b w:val="false"/>
          <w:bCs w:val="false"/>
        </w:rPr>
        <w:t xml:space="preserve"> требует значительных вычислений ($O(N^2)$ прямым методом, $O(N\log N)$ через БПФ) и хранения $O(N)$ отсчетов. На STM32F407 без DSP-сопроцессора и больших объемов памяти практически не реализуем. Чаще используют в DSP/Matlab.</w:t>
      </w:r>
    </w:p>
    <w:p>
      <w:pPr>
        <w:pStyle w:val="BodyText"/>
        <w:rPr>
          <w:b w:val="false"/>
          <w:bCs w:val="false"/>
        </w:rPr>
      </w:pPr>
      <w:r>
        <w:rPr>
          <w:b w:val="false"/>
          <w:bCs w:val="false"/>
        </w:rPr>
        <w:t xml:space="preserve">Согласованный фильтр (Matched Filter): Оптимальное линейное устройство для детектирования заранее известного сигнала в аддитивном белом шуме (максимизирует SNR). Требуется априорное знание формы сигнала и его отклика. Реализуется как корреляция входа с шаблоном. </w:t>
      </w:r>
      <w:r>
        <w:rPr>
          <w:b w:val="false"/>
          <w:bCs w:val="false"/>
          <w:i/>
          <w:iCs/>
        </w:rPr>
        <w:t>Плюс:</w:t>
      </w:r>
      <w:r>
        <w:rPr>
          <w:b w:val="false"/>
          <w:bCs w:val="false"/>
        </w:rPr>
        <w:t xml:space="preserve"> максимальная помехоустойчивость при точно известном шаблоне сигнала. </w:t>
      </w:r>
      <w:r>
        <w:rPr>
          <w:b w:val="false"/>
          <w:bCs w:val="false"/>
          <w:i/>
          <w:iCs/>
        </w:rPr>
        <w:t>Минус:</w:t>
      </w:r>
      <w:r>
        <w:rPr>
          <w:b w:val="false"/>
          <w:bCs w:val="false"/>
        </w:rPr>
        <w:t xml:space="preserve"> низкая гибкость (нужен шаблон), высокие вычисления (FFT-кросс-корреляция или FIR-фильтр длины $N$).</w:t>
      </w:r>
    </w:p>
    <w:p>
      <w:pPr>
        <w:pStyle w:val="BodyText"/>
        <w:rPr>
          <w:b w:val="false"/>
          <w:bCs w:val="false"/>
        </w:rPr>
      </w:pPr>
      <w:r>
        <w:rPr>
          <w:b w:val="false"/>
          <w:bCs w:val="false"/>
        </w:rPr>
        <w:t>Другие DSP-методы: Например, усреднение циклов (cycle averaging) для повторяющихся импульсов: сигнал синхронизируют с сигналом и усредняют (накапливают выборки по фазе). Поглощает шум как 1/√M. Аналогично реализуются фазовые измерители.</w:t>
      </w:r>
    </w:p>
    <w:p>
      <w:pPr>
        <w:pStyle w:val="BodyText"/>
        <w:rPr>
          <w:b w:val="false"/>
          <w:bCs w:val="false"/>
        </w:rPr>
      </w:pPr>
      <w:r>
        <w:rPr>
          <w:b w:val="false"/>
          <w:bCs w:val="false"/>
        </w:rPr>
        <w:t xml:space="preserve">FPGA/DSP-системы: Если нужны крайне высокие скорости и малые задержки, применяют FPGA-реализации или мощные DSP-чипы (микросхемы с SIMD-конвейерами). Они обрабатывают сигналы в реальном времени вплоть до нескольких ГГц. </w:t>
      </w:r>
      <w:r>
        <w:rPr>
          <w:b w:val="false"/>
          <w:bCs w:val="false"/>
          <w:i/>
          <w:iCs/>
        </w:rPr>
        <w:t>Плюс:</w:t>
      </w:r>
      <w:r>
        <w:rPr>
          <w:b w:val="false"/>
          <w:bCs w:val="false"/>
        </w:rPr>
        <w:t xml:space="preserve"> высочайшая производительность (параллельная обработка), можно гибко реализовать фильтры, корреляцию, БПФ аппаратно. </w:t>
      </w:r>
      <w:r>
        <w:rPr>
          <w:b w:val="false"/>
          <w:bCs w:val="false"/>
          <w:i/>
          <w:iCs/>
        </w:rPr>
        <w:t>Минус:</w:t>
      </w:r>
      <w:r>
        <w:rPr>
          <w:b w:val="false"/>
          <w:bCs w:val="false"/>
        </w:rPr>
        <w:t xml:space="preserve"> очень высокая сложность и цена разработки, дорогие компоненты. Ориентировано на лабораторные или промышленно-критические системы (радиолокация, телекоммуникации).</w:t>
      </w:r>
    </w:p>
    <w:p>
      <w:pPr>
        <w:pStyle w:val="BodyText"/>
        <w:rPr/>
      </w:pPr>
      <w:r>
        <w:rPr>
          <w:b w:val="false"/>
          <w:bCs w:val="false"/>
        </w:rPr>
        <w:t>Коммерческие осциллографы/анализаторы: Фактически это все в одном: высокоскоростные АЦП + FPGA/CPU + графический интерфейс. Например, цифровой осциллограф Tektronix TDS7404B с полосу 4 ГГц и 20 ГС/с</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[12]</w:t>
      </w:r>
      <w:r>
        <w:rPr>
          <w:rStyle w:val="Hyperlink"/>
          <w:b w:val="false"/>
          <w:bCs w:val="false"/>
        </w:rPr>
        <w:fldChar w:fldCharType="end"/>
      </w:r>
      <w:r>
        <w:rPr>
          <w:b w:val="false"/>
          <w:bCs w:val="false"/>
        </w:rPr>
        <w:t xml:space="preserve">. Он сразу строит гистограммы и спектры встроенными средствами. </w:t>
      </w:r>
      <w:r>
        <w:rPr>
          <w:b w:val="false"/>
          <w:bCs w:val="false"/>
          <w:i/>
          <w:iCs/>
        </w:rPr>
        <w:t>Плюс:</w:t>
      </w:r>
      <w:r>
        <w:rPr>
          <w:b w:val="false"/>
          <w:bCs w:val="false"/>
        </w:rPr>
        <w:t xml:space="preserve"> готовый функционал, высокая точность, поддержка работы с помехами (DPO, выборочное хранение). </w:t>
      </w:r>
      <w:r>
        <w:rPr>
          <w:b w:val="false"/>
          <w:bCs w:val="false"/>
          <w:i/>
          <w:iCs/>
        </w:rPr>
        <w:t>Минус:</w:t>
      </w:r>
      <w:r>
        <w:rPr>
          <w:b w:val="false"/>
          <w:bCs w:val="false"/>
        </w:rPr>
        <w:t xml:space="preserve"> огромная стоимость и габариты, не подходит для встраивания. Аналогичные функции выполняет спектроанализатор и ВЧ-счетчики.</w:t>
      </w:r>
    </w:p>
    <w:p>
      <w:pPr>
        <w:pStyle w:val="BodyText"/>
        <w:rPr/>
      </w:pPr>
      <w:r>
        <w:rPr/>
      </w:r>
    </w:p>
    <w:p>
      <w:pPr>
        <w:pStyle w:val="Heading2"/>
        <w:rPr/>
      </w:pPr>
      <w:bookmarkStart w:id="12" w:name="__RefHeading___Toc2173_1929968905"/>
      <w:bookmarkEnd w:id="12"/>
      <w:r>
        <w:rPr/>
        <w:t>2.3 Сравнительный анализ и патентный поиск</w:t>
      </w:r>
    </w:p>
    <w:p>
      <w:pPr>
        <w:pStyle w:val="FirstParagraph"/>
        <w:rPr/>
      </w:pPr>
      <w:r>
        <w:rPr/>
        <w:t>Проведен обзор патентов и разработок на тему измерения параметров периодических сигналов. Ниже – краткая таблица примеров (патент, описание, особенности):</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Патент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Краткое содержание</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Новизна/Применение</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Ограничения</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RU2183839C1</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Метод оценки частоты через рекуррентные формулы фаз. Изобретение предлагает вычислять приращения фазы и на их основе определять $f$</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Высокая скорость оценки частоты, полезен для телеком/радиолокации.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реализация ФАПЧ; фокус только на фазе/частоте, не на амплитуде.</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RU2229139C1</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[16]</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Спектральный анализ сложного сигнала: перемножение входа с бинарной опорой, усреднение по периоду и поиск максимума постоянной составляющей</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[16]</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Ускоряет расчет спектра за счет бинарных зондирующих функций; позволяет вычислять частоту, фазу и амплитуду гармоник.</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Требуется множество фазовых сдвигов опорного сигнала; сложность вычислений.</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RU2229140C1</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[22]</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Способ мгновенного спектрального анализа: выборка точек анализа только в определенные моменты (решетчатые функции) и суммирование</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[22]</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Уменьшает объем вычислений за счет выборки лишь некоторых отсчетов (поддержан Томским политехом).</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Сложность алгоритма; применим для стационарных периодических сигналов.</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SU1709262 (СССР, 1992)</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Калибратор периодических сигналов</w:t>
            </w:r>
            <w:r>
              <w:rPr>
                <w:rFonts w:eastAsia="Aptos" w:cs=""/>
                <w:kern w:val="0"/>
                <w:sz w:val="20"/>
                <w:szCs w:val="20"/>
                <w:lang w:val="ru-RU" w:eastAsia="en-US" w:bidi="ar-SA"/>
              </w:rPr>
              <w:t xml:space="preserve"> (генератор синусоид и шумов).</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Генерация опорных сигналов; не измеритель.</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Старое устройство (генерация, а не измерение).</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RU2365924 (2009)</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Способ измерения средней частоты периодических сигналов (описание недоступно в открытом доступе).</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ЦИ-техника, средняя частота.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Подробности неизвестны.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SU1160432A1 (2005)</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Метод измерения частоты по адаптивному фильтру: квантование и адаптивная обработка.</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Использует цифровую аппроксимацию сигнала.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Нестандартизированные алгоритмы, не широко применен.</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Аналоговые приборы</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Осциллографы, анализаторы спектра (например, Tektronix TDS7404B</w:t>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[12]</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Полный комплект измерений «из коробки».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дорогие, для лаборатории.</w:t>
            </w:r>
          </w:p>
        </w:tc>
      </w:tr>
    </w:tbl>
    <w:p>
      <w:pPr>
        <w:pStyle w:val="BodyText"/>
        <w:rPr/>
      </w:pPr>
      <w:r>
        <w:rPr>
          <w:i/>
          <w:iCs/>
        </w:rPr>
        <w:t>Вывод:</w:t>
      </w:r>
      <w:r>
        <w:rPr/>
        <w:t xml:space="preserve"> Наряду с классическими алгоритмами (RU2183839C1, RU2229139C1 и др.) специализированных приборов с точно такой функцией нет – обычно используют либо универсальные ОСЦ/анализаторы (см. Tektronix выше), либо разрабатывают цифровые схемы под конкретные задачи. Наш макет сочетает дешевый MCU и быстрый АЦП, что выходит за рамки описанных патентных решений и обеспечивает большую гибкость (медленная часть анализа выполняется на ПК).</w:t>
      </w:r>
    </w:p>
    <w:p>
      <w:pPr>
        <w:pStyle w:val="BodyText"/>
        <w:rPr/>
      </w:pPr>
      <w:r>
        <w:rPr/>
      </w:r>
    </w:p>
    <w:p>
      <w:pPr>
        <w:pStyle w:val="Heading2"/>
        <w:rPr/>
      </w:pPr>
      <w:bookmarkStart w:id="13" w:name="__RefHeading___Toc2175_1929968905"/>
      <w:bookmarkStart w:id="14" w:name="варианты-реализации-и-сравнение"/>
      <w:bookmarkEnd w:id="13"/>
      <w:r>
        <w:rPr/>
        <w:t>2.4 Варианты реализации и сравнение</w:t>
      </w:r>
    </w:p>
    <w:p>
      <w:pPr>
        <w:pStyle w:val="BodyText"/>
        <w:rPr>
          <w:b w:val="false"/>
          <w:bCs w:val="false"/>
        </w:rPr>
      </w:pPr>
      <w:r>
        <w:rPr>
          <w:b w:val="false"/>
          <w:bCs w:val="false"/>
        </w:rPr>
        <w:t>Предложены три варианта реализации «минималистичного» измерителя:</w:t>
      </w:r>
    </w:p>
    <w:p>
      <w:pPr>
        <w:pStyle w:val="BodyText"/>
        <w:rPr>
          <w:b w:val="false"/>
          <w:bCs w:val="false"/>
        </w:rPr>
      </w:pPr>
      <w:r>
        <w:rPr>
          <w:b w:val="false"/>
          <w:bCs w:val="false"/>
        </w:rPr>
        <w:t xml:space="preserve">(A) Простой аналоговый/цифровой частотомер: Компаратор (±Шмитт) + счетчик. Схема: сигнал → компаратор → цифровой счетчик/таймер. Компоненты: компаратор (например, LM393), делители порогов, микросчетчик/таймер (можно в Arduino). </w:t>
      </w:r>
      <w:r>
        <w:rPr>
          <w:b w:val="false"/>
          <w:bCs w:val="false"/>
          <w:i/>
          <w:iCs/>
        </w:rPr>
        <w:t>Стоимость:</w:t>
      </w:r>
      <w:r>
        <w:rPr>
          <w:b w:val="false"/>
          <w:bCs w:val="false"/>
        </w:rPr>
        <w:t xml:space="preserve"> очень низкая (доллары). </w:t>
      </w:r>
      <w:r>
        <w:rPr>
          <w:b w:val="false"/>
          <w:bCs w:val="false"/>
          <w:i/>
          <w:iCs/>
        </w:rPr>
        <w:t>Возможности:</w:t>
      </w:r>
      <w:r>
        <w:rPr>
          <w:b w:val="false"/>
          <w:bCs w:val="false"/>
        </w:rPr>
        <w:t xml:space="preserve"> измерение частоты одной гармоники. Нельзя измерять амплитуду или анализировать шум. Компоненты: компаратор, резисторы, логическая подсистема/МК.</w:t>
      </w:r>
    </w:p>
    <w:p>
      <w:pPr>
        <w:pStyle w:val="BodyText"/>
        <w:rPr>
          <w:b w:val="false"/>
          <w:bCs w:val="false"/>
        </w:rPr>
      </w:pPr>
      <w:r>
        <w:rPr>
          <w:b w:val="false"/>
          <w:bCs w:val="false"/>
        </w:rPr>
        <w:t xml:space="preserve">(B) STM32F407 + внешний ADC (наш прототип): Компоненты: STM32F407VGT6, быстрый АЦП (Analog Devices, название “не указано”), тактовый генератор, сопряжение входа (УСИЛИТЕЛЬ, буфер), источник питания, ЦПЛ с интерфейсом (USB/Ethernet). </w:t>
      </w:r>
      <w:r>
        <w:rPr>
          <w:b w:val="false"/>
          <w:bCs w:val="false"/>
          <w:i/>
          <w:iCs/>
        </w:rPr>
        <w:t>Стоимость:</w:t>
      </w:r>
      <w:r>
        <w:rPr>
          <w:b w:val="false"/>
          <w:bCs w:val="false"/>
        </w:rPr>
        <w:t xml:space="preserve"> средняя (STM32 ~$10, ADC “не указано”, др. пассивные). </w:t>
      </w:r>
      <w:r>
        <w:rPr>
          <w:b w:val="false"/>
          <w:bCs w:val="false"/>
          <w:i/>
          <w:iCs/>
        </w:rPr>
        <w:t>Возможности:</w:t>
      </w:r>
      <w:r>
        <w:rPr>
          <w:b w:val="false"/>
          <w:bCs w:val="false"/>
        </w:rPr>
        <w:t xml:space="preserve"> полная цифровая обработка сигнала. Амплитуда определяется гистограммным анализом, частота – по среднему числу выборок на период. Все алгоритмы гибко настраиваются в ПО; часть (прямая выборка, DMA) – аппаратная. Примерные компоненты и стоимость (табл. ниже).</w:t>
      </w:r>
    </w:p>
    <w:p>
      <w:pPr>
        <w:pStyle w:val="BodyText"/>
        <w:rPr>
          <w:b w:val="false"/>
          <w:bCs w:val="false"/>
        </w:rPr>
      </w:pPr>
      <w:r>
        <w:rPr>
          <w:b w:val="false"/>
          <w:bCs w:val="false"/>
        </w:rPr>
        <w:t xml:space="preserve">(C) FPGA/DSP-анализатор: Компоненты: высокоскоростной ADC (~не указано, возможно &gt;100 МС/с), FPGA (Altera/Intel Cyclone, Xilinx Kintex и т.д.), память, конвертер интерфейса. </w:t>
      </w:r>
      <w:r>
        <w:rPr>
          <w:b w:val="false"/>
          <w:bCs w:val="false"/>
          <w:i/>
          <w:iCs/>
        </w:rPr>
        <w:t>Стоимость:</w:t>
      </w:r>
      <w:r>
        <w:rPr>
          <w:b w:val="false"/>
          <w:bCs w:val="false"/>
        </w:rPr>
        <w:t xml:space="preserve"> высокая (ADC – сотни $/штука, FPGA – сотни $; плата разработки &gt;$1000). </w:t>
      </w:r>
      <w:r>
        <w:rPr>
          <w:b w:val="false"/>
          <w:bCs w:val="false"/>
          <w:i/>
          <w:iCs/>
        </w:rPr>
        <w:t>Возможности:</w:t>
      </w:r>
      <w:r>
        <w:rPr>
          <w:b w:val="false"/>
          <w:bCs w:val="false"/>
        </w:rPr>
        <w:t xml:space="preserve"> реальное время при сотнях МГц, сложные алгоритмы (частотная фильтрация, FFT1000+, корреляция) на лету. Используется там, где требуется очень высокая точность и скорость. Примечание: наш вариант (B) – компромисс между (A) и (C).</w:t>
      </w:r>
    </w:p>
    <w:p>
      <w:pPr>
        <w:pStyle w:val="FirstParagraph"/>
        <w:rPr/>
      </w:pPr>
      <w:r>
        <w:rPr>
          <w:b/>
          <w:bCs/>
        </w:rPr>
        <w:t>Таблица 2.1. Компоненты и стоимость для трех вариантов</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Компонент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(A) Аналоговый частотомер</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(B) STM32F407 + ADC</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(C) FPGA/DSP-анализатор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Микроконтроллер/ЦП</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 (просто счетчик)</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STM32F407VGT6 (Cortex-M4, 168МГц) – </w:t>
            </w:r>
            <w:r>
              <w:rPr>
                <w:rFonts w:eastAsia="Aptos" w:cs=""/>
                <w:i/>
                <w:iCs/>
                <w:kern w:val="0"/>
                <w:sz w:val="20"/>
                <w:szCs w:val="20"/>
                <w:lang w:val="ru-RU" w:eastAsia="en-US" w:bidi="ar-SA"/>
              </w:rPr>
              <w:t>не указано</w:t>
            </w:r>
            <w:r>
              <w:fldChar w:fldCharType="begin"/>
            </w:r>
            <w:r>
              <w:rPr>
                <w:rStyle w:val="Hyperlink"/>
                <w:sz w:val="20"/>
                <w:kern w:val="0"/>
                <w:szCs w:val="20"/>
                <w:rFonts w:eastAsia="Aptos"/>
                <w:lang w:val="ru-RU" w:eastAsia="en-US" w:bidi="ar-SA"/>
              </w:rPr>
              <w:instrText xml:space="preserve"> HYPERLINK "https://www.st.com/resource/en/datasheet/dm00037051.pdf" \l ":~:text=%E2%80%A2%203%C3%9712,MSPS%20in%20triple%20interleaved%20mode"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[17]</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специализированный DSP/FPGA – </w:t>
            </w:r>
            <w:r>
              <w:rPr>
                <w:rFonts w:eastAsia="Aptos" w:cs=""/>
                <w:i/>
                <w:iCs/>
                <w:kern w:val="0"/>
                <w:sz w:val="20"/>
                <w:szCs w:val="20"/>
                <w:lang w:val="ru-RU" w:eastAsia="en-US" w:bidi="ar-SA"/>
              </w:rPr>
              <w:t>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АЦП/формирователь сигнала</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компаратор/Шмитт-триггер (например, LM393, цена &lt;$1)</w:t>
            </w:r>
            <w:r>
              <w:fldChar w:fldCharType="begin"/>
            </w:r>
            <w:r>
              <w:rPr>
                <w:rStyle w:val="Hyperlink"/>
                <w:sz w:val="20"/>
                <w:kern w:val="0"/>
                <w:szCs w:val="20"/>
                <w:rFonts w:eastAsia="Aptos"/>
                <w:lang w:val="ru-RU" w:eastAsia="en-US" w:bidi="ar-SA"/>
              </w:rPr>
              <w:instrText xml:space="preserve"> HYPERLINK "https://en.wikipedia.org/wiki/Schmitt_trigger" \l ":~:text=ImageComparison%20of%20the%20action%20of,remove%20noise%20from%20the%20signal"</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[18]</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Внешний быстрый ADC (Analog Devices, </w:t>
            </w:r>
            <w:r>
              <w:rPr>
                <w:rFonts w:eastAsia="Aptos" w:cs=""/>
                <w:i/>
                <w:iCs/>
                <w:kern w:val="0"/>
                <w:sz w:val="20"/>
                <w:szCs w:val="20"/>
                <w:lang w:val="ru-RU" w:eastAsia="en-US" w:bidi="ar-SA"/>
              </w:rPr>
              <w:t>не указано</w:t>
            </w:r>
            <w:r>
              <w:rPr>
                <w:rFonts w:eastAsia="Aptos" w:cs=""/>
                <w:kern w:val="0"/>
                <w:sz w:val="20"/>
                <w:szCs w:val="20"/>
                <w:lang w:val="ru-RU" w:eastAsia="en-US" w:bidi="ar-SA"/>
              </w:rPr>
              <w:t>, ~18.6 MSPS)</w:t>
            </w:r>
            <w:r>
              <w:fldChar w:fldCharType="begin"/>
            </w:r>
            <w:r>
              <w:rPr>
                <w:rStyle w:val="Hyperlink"/>
                <w:sz w:val="20"/>
                <w:kern w:val="0"/>
                <w:szCs w:val="20"/>
                <w:rFonts w:eastAsia="Aptos"/>
                <w:lang w:val="ru-RU" w:eastAsia="en-US" w:bidi="ar-SA"/>
              </w:rPr>
              <w:instrText xml:space="preserve"> HYPERLINK "https://www.analog.com/en/product-category/high-speed-adcs.html" \l ":~:text=Analog%20Devices%E2%80%99%20high%20speed%20analog,10%20MSPS%20to%20125%20MSPS"</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[19]</w:t>
            </w:r>
            <w:r>
              <w:rPr>
                <w:rStyle w:val="Hyperlink"/>
                <w:sz w:val="20"/>
                <w:kern w:val="0"/>
                <w:szCs w:val="20"/>
                <w:rFonts w:eastAsia="Aptos"/>
                <w:lang w:val="ru-RU" w:eastAsia="en-US" w:bidi="ar-SA"/>
              </w:rPr>
              <w:fldChar w:fldCharType="end"/>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[12]</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Мультиканальный ADC &gt;100 MSPS (не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Генератор тактов (кварц)</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1 МГц–100 МГц (для таймера, &lt;$1)</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25–50 МГц (для MCU/ADC,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Внешний высокочастотный VCO (Gbit, &gt;$10)</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Аналоговый вход (усилитель)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простейший фильтр/ограничитель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УСИЛИТЕЛЬ НЧ + буфер (прецизионный,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Прецизионный фронт-энд (PLL, фильтры)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Память и интерфейс</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Встроенная Flash+RAM, USB/DMA</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Внешняя DDR SDRAM, высокоскоростной интерфейс (PCIe/Gbit)</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Прочие (ПЗУ, защита, др.)</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минимальные (конденсаторы, стабилизаторы)</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Стандартные (регуляторы 3.3В, 5В)</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логика питания, чипы Gbit Ethernet и пр.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Суммарная стоимость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низкая (&lt;1000 ₽)</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Средняя (~5–10 тыс ₽)</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высокая (&gt;100 тыс ₽)</w:t>
            </w:r>
          </w:p>
        </w:tc>
      </w:tr>
    </w:tbl>
    <w:p>
      <w:pPr>
        <w:pStyle w:val="BodyText"/>
        <w:rPr/>
      </w:pPr>
      <w:r>
        <w:rPr>
          <w:i/>
          <w:iCs/>
        </w:rPr>
        <w:t xml:space="preserve">Цены взяты условно: STM32F407 – 500 рублей, быстродействующий ADC – 2000 рублей  </w:t>
      </w:r>
      <w:r>
        <w:fldChar w:fldCharType="begin"/>
      </w:r>
      <w:r>
        <w:rPr>
          <w:rStyle w:val="Hyperlink"/>
          <w:i/>
          <w:iCs/>
        </w:rPr>
        <w:instrText xml:space="preserve"> HYPERLINK "https://www.analog.com/en/product-category/high-speed-adcs.html" \l ":~:text=Analog%20Devices%E2%80%99%20high%20speed%20analog,10%20MSPS%20to%20125%20MSPS"</w:instrText>
      </w:r>
      <w:r>
        <w:rPr>
          <w:rStyle w:val="Hyperlink"/>
          <w:i/>
          <w:iCs/>
        </w:rPr>
        <w:fldChar w:fldCharType="separate"/>
      </w:r>
      <w:r>
        <w:rPr>
          <w:rStyle w:val="Hyperlink"/>
          <w:i/>
          <w:iCs/>
        </w:rPr>
        <w:t>[19]</w:t>
      </w:r>
      <w:r>
        <w:rPr>
          <w:rStyle w:val="Hyperlink"/>
          <w:i/>
          <w:iCs/>
        </w:rPr>
        <w:fldChar w:fldCharType="end"/>
      </w:r>
      <w:r>
        <w:rPr>
          <w:i/>
          <w:iCs/>
        </w:rPr>
        <w:t>. Указанная система Б (наша) оптимальна по соотношению цена/возможности.</w:t>
      </w:r>
      <w:bookmarkEnd w:id="14"/>
    </w:p>
    <w:p>
      <w:pPr>
        <w:pStyle w:val="BodyText"/>
        <w:rPr/>
      </w:pPr>
      <w:r>
        <w:rPr/>
      </w:r>
    </w:p>
    <w:p>
      <w:pPr>
        <w:pStyle w:val="Heading2"/>
        <w:rPr/>
      </w:pPr>
      <w:bookmarkStart w:id="15" w:name="__RefHeading___Toc2177_1929968905"/>
      <w:bookmarkEnd w:id="15"/>
      <w:r>
        <w:rPr/>
        <w:t>2.5 Реализация подхода на STM32F407</w:t>
      </w:r>
    </w:p>
    <w:p>
      <w:pPr>
        <w:pStyle w:val="BodyText"/>
        <w:rPr/>
      </w:pPr>
      <w:r>
        <w:rPr>
          <w:b/>
          <w:bCs/>
        </w:rPr>
        <w:t>Аппаратная часть:</w:t>
      </w:r>
      <w:r>
        <w:rPr/>
        <w:t xml:space="preserve"> В STM32F407 есть 3 АЦП по 12 бит до 2.4 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[17]</w:t>
      </w:r>
      <w:r>
        <w:rPr>
          <w:rStyle w:val="Hyperlink"/>
        </w:rPr>
        <w:fldChar w:fldCharType="end"/>
      </w:r>
      <w:r>
        <w:rPr/>
        <w:t xml:space="preserve">. Для 18.6 MS/s используется внешний SAR-ADC (например, семейство AD1940 и др.; модель </w:t>
      </w:r>
      <w:r>
        <w:rPr>
          <w:b/>
          <w:bCs/>
        </w:rPr>
        <w:t>не указана</w:t>
      </w:r>
      <w:r>
        <w:rPr/>
        <w:t xml:space="preserve">). ADC может быть интерфейсован через SPI или параллельный интерфейс в DMA-режиме. Таймер STM32 запускает преобразования с нужной частотой. Интерфейс DMA заполняет буфер без нагружения CPU. Ожидаемая нагрузка: 18.6 млн отсчетов/с * 2 байта ≈ 37 МБ/с. STM32F4 поддерживает до 84 МГц ядра и кэш, </w:t>
      </w:r>
      <w:r>
        <w:rPr>
          <w:b/>
          <w:bCs/>
        </w:rPr>
        <w:t>DSP-инструкции и SIMD-мультипликаторы</w:t>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[20]</w:t>
      </w:r>
      <w:r>
        <w:rPr>
          <w:rStyle w:val="Hyperlink"/>
        </w:rPr>
        <w:fldChar w:fldCharType="end"/>
      </w:r>
      <w:r>
        <w:rPr/>
        <w:t>, что позволяет на MCU выполнять некритичные операции (например, фильтрацию, сверточные суммирования, простую БПФ) без полного перехода на ПК.</w:t>
      </w:r>
    </w:p>
    <w:p>
      <w:pPr>
        <w:pStyle w:val="BodyText"/>
        <w:rPr/>
      </w:pPr>
      <w:r>
        <w:rPr>
          <w:b/>
          <w:bCs/>
        </w:rPr>
        <w:t>Ограничения (реальные):</w:t>
      </w:r>
      <w:r>
        <w:rPr/>
        <w:t xml:space="preserve"> Максимальная входная частота измеряемого сигнала ограничена половиной скорости дискретизации (Найквист), т.е. ≈9.3 МГц. Для большинства задач мы считаем сигналы до сотен кГц. Высокочастотные составляющие фильтруются АЦП-аналоговым фронтом (фильтр антиалиасинга) – это отдельная часть схемы. Латентность системы: преимущественно обусловлена временем набора партий выборок и передачи их на ПК. При 18.6 МС/с одну секунду заполнения буфера в 18.6 млн отсчетов. На практике используются гораздо меньшие блоки (например, 10000 отсчетов) для реальной оценки параметров: это дает задержку ~0.54 мс на обработку интервала (10000/18.6e6).</w:t>
      </w:r>
    </w:p>
    <w:p>
      <w:pPr>
        <w:pStyle w:val="BodyText"/>
        <w:rPr/>
      </w:pPr>
      <w:r>
        <w:rPr>
          <w:b/>
          <w:bCs/>
        </w:rPr>
        <w:t>Алгоритмы:</w:t>
      </w:r>
      <w:r>
        <w:rPr/>
        <w:t xml:space="preserve"> В STM32 реализуются только самые тяжелые или временно-критичные фрагменты: сбор данных, гистограмма, поиск трех пиков в гистограмме, базовый подсчет периода (счет совпадений пиков или нулевых переходов). Аппаратно (DMA) обрабатываются ровно $O(1)$ операций на отсчет (сбор гистограммы). Оценка амплитуды: $A = peak_{\max} - peak_{\min}$, где $peak$ – индексы или значения пиков гистограммы (см. ниже). Определение периода: по среднему числу отсчетов между последовательными пересечениями порога или гистограммными пиками ($T=\overline{N}_{\text{отсч}}/F_s$).</w:t>
      </w:r>
    </w:p>
    <w:p>
      <w:pPr>
        <w:pStyle w:val="BodyText"/>
        <w:rPr/>
      </w:pPr>
      <w:bookmarkStart w:id="16" w:name="реализация-подхода-на-stm32f407"/>
      <w:r>
        <w:rPr/>
        <w:t>Остальное (подробная обработка сигналов, вывод результатов, сложные фильтры, многократная проверка стабильности) выполняется на ПК. Вычисления на ПК могут включать FFT (быстрая оценка спектра), корреляционные методы, продвинутую статистику (например, оценку джиттера), визуализацию и т.д. Таким образом мы разгружаем MCU, оставляя ему только сбор и подсчет статистики для каждого блока.</w:t>
      </w:r>
      <w:bookmarkEnd w:id="16"/>
    </w:p>
    <w:p>
      <w:pPr>
        <w:pStyle w:val="BodyText"/>
        <w:rPr/>
      </w:pPr>
      <w:r>
        <w:rPr/>
      </w:r>
    </w:p>
    <w:p>
      <w:pPr>
        <w:pStyle w:val="Heading2"/>
        <w:rPr/>
      </w:pPr>
      <w:bookmarkStart w:id="17" w:name="__RefHeading___Toc2179_1929968905"/>
      <w:bookmarkEnd w:id="17"/>
      <w:r>
        <w:rPr/>
        <w:t>2.6 Гистограммный метод: алгоритм и статистика</w:t>
      </w:r>
    </w:p>
    <w:p>
      <w:pPr>
        <w:pStyle w:val="BodyText"/>
        <w:rPr/>
      </w:pPr>
      <w:r>
        <w:rPr/>
        <w:t xml:space="preserve">В основу нашего метода положен </w:t>
      </w:r>
      <w:r>
        <w:rPr>
          <w:b/>
          <w:bCs/>
        </w:rPr>
        <w:t>гистограммный анализ</w:t>
      </w:r>
      <w:r>
        <w:rPr/>
        <w:t xml:space="preserve"> входных отсчетов</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rPr/>
        <w:t>. Алгоритм работает в несколько этапов:</w:t>
      </w:r>
    </w:p>
    <w:p>
      <w:pPr>
        <w:pStyle w:val="SourceCode"/>
        <w:rPr/>
      </w:pPr>
      <w:r>
        <w:rPr/>
        <w:drawing>
          <wp:anchor behindDoc="0" distT="0" distB="0" distL="0" distR="0" simplePos="0" locked="0" layoutInCell="0" allowOverlap="1" relativeHeight="98">
            <wp:simplePos x="0" y="0"/>
            <wp:positionH relativeFrom="column">
              <wp:align>center</wp:align>
            </wp:positionH>
            <wp:positionV relativeFrom="paragraph">
              <wp:posOffset>635</wp:posOffset>
            </wp:positionV>
            <wp:extent cx="2093595" cy="481647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2093595" cy="4816475"/>
                    </a:xfrm>
                    <a:prstGeom prst="rect">
                      <a:avLst/>
                    </a:prstGeom>
                  </pic:spPr>
                </pic:pic>
              </a:graphicData>
            </a:graphic>
          </wp:anchor>
        </w:drawing>
      </w:r>
    </w:p>
    <w:p>
      <w:pPr>
        <w:pStyle w:val="BodyTextFirstIndent"/>
        <w:rPr/>
      </w:pPr>
      <w:r>
        <w:rPr/>
        <w:t xml:space="preserve">Здесь </w:t>
      </w:r>
      <w:r>
        <w:rPr>
          <w:rStyle w:val="VerbatimChar"/>
        </w:rPr>
        <w:t>V(x)</w:t>
      </w:r>
      <w:r>
        <w:rPr/>
        <w:t xml:space="preserve"> – отношение к абсолютной шкале АЦП; </w:t>
      </w:r>
      <w:r>
        <w:rPr>
          <w:rStyle w:val="VerbatimChar"/>
        </w:rPr>
        <w:t>V_peak0</w:t>
      </w:r>
      <w:r>
        <w:rPr/>
        <w:t xml:space="preserve"> – средний уровень. Сложность алгоритма – O(M) по числу выборок (сбор гистограммы) плюс O(H) для поиска пиков (где H – число возможных уровней, обычно 2^n, константа). Это быстро для M~10⁴–10⁵ и H~256–65536.</w:t>
      </w:r>
    </w:p>
    <w:p>
      <w:pPr>
        <w:pStyle w:val="BodyText"/>
        <w:rPr/>
      </w:pPr>
      <w:r>
        <w:rPr>
          <w:b/>
          <w:bCs/>
        </w:rPr>
        <w:t>Статистические свойства:</w:t>
      </w:r>
      <w:r>
        <w:rPr/>
        <w:t xml:space="preserve"> При аддитивном белом гауссовом шуме пики гистограммы получаются размытыми – пики амплитуд расширяются примерно на </w:t>
      </w:r>
      <w:r>
        <w:rPr/>
      </w:r>
      <m:oMath xmlns:m="http://schemas.openxmlformats.org/officeDocument/2006/math">
        <m:r>
          <m:t xml:space="preserve">σ</m:t>
        </m:r>
      </m:oMath>
      <w:r>
        <w:rPr/>
        <w:t xml:space="preserve"> шума. Если сигнал имеет амплитуду A и шум с дисперсией </w:t>
      </w:r>
      <w:r>
        <w:rPr/>
      </w:r>
      <m:oMath xmlns:m="http://schemas.openxmlformats.org/officeDocument/2006/math">
        <m:sSup>
          <m:e>
            <m:r>
              <m:t xml:space="preserve">σ</m:t>
            </m:r>
          </m:e>
          <m:sup>
            <m:r>
              <m:t xml:space="preserve">2</m:t>
            </m:r>
          </m:sup>
        </m:sSup>
      </m:oMath>
      <w:r>
        <w:rPr/>
        <w:t xml:space="preserve">, то неопределенность измерения A при использовании гистограммы уменьшается с ростом M (число выборок): погрешность по стандартному отклонению амплитуды можно оценивать как </w:t>
      </w:r>
      <w:r>
        <w:rPr/>
      </w:r>
      <m:oMath xmlns:m="http://schemas.openxmlformats.org/officeDocument/2006/math">
        <m:r>
          <m:t xml:space="preserve">δ</m:t>
        </m:r>
        <m:r>
          <m:t xml:space="preserve">A</m:t>
        </m:r>
        <m:r>
          <m:t xml:space="preserve">∼</m:t>
        </m:r>
        <m:f>
          <m:num>
            <m:r>
              <m:t xml:space="preserve">σ</m:t>
            </m:r>
          </m:num>
          <m:den>
            <m:rad>
              <m:radPr>
                <m:degHide m:val="1"/>
              </m:radPr>
              <m:deg/>
              <m:e>
                <m:f>
                  <m:fPr>
                    <m:type m:val="lin"/>
                  </m:fPr>
                  <m:num>
                    <m:r>
                      <m:t xml:space="preserve">M</m:t>
                    </m:r>
                  </m:num>
                  <m:den>
                    <m:sSub>
                      <m:e>
                        <m:r>
                          <m:t xml:space="preserve">N</m:t>
                        </m:r>
                      </m:e>
                      <m:sub>
                        <m:r>
                          <m:t xml:space="preserve">p</m:t>
                        </m:r>
                      </m:sub>
                    </m:sSub>
                  </m:den>
                </m:f>
              </m:e>
            </m:rad>
          </m:den>
        </m:f>
      </m:oMath>
      <w:r>
        <w:rPr/>
        <w:t xml:space="preserve">, где </w:t>
      </w:r>
      <w:r>
        <w:rPr/>
      </w:r>
      <m:oMath xmlns:m="http://schemas.openxmlformats.org/officeDocument/2006/math">
        <m:sSub>
          <m:e>
            <m:r>
              <m:t xml:space="preserve">N</m:t>
            </m:r>
          </m:e>
          <m:sub>
            <m:r>
              <m:t xml:space="preserve">p</m:t>
            </m:r>
          </m:sub>
        </m:sSub>
      </m:oMath>
      <w:r>
        <w:rPr/>
        <w:t xml:space="preserve"> – число выборок на каждый уровень (зависит от формы). То есть при больших M относительная ошибка стремится к 0 (закон больших чисел). Для оценки периода средняя погрешность будет примерно </w:t>
      </w:r>
      <w:r>
        <w:rPr/>
      </w:r>
      <m:oMath xmlns:m="http://schemas.openxmlformats.org/officeDocument/2006/math">
        <m:r>
          <m:t xml:space="preserve">δ</m:t>
        </m:r>
        <m:r>
          <m:t xml:space="preserve">T</m:t>
        </m:r>
        <m:r>
          <m:t xml:space="preserve">∼</m:t>
        </m:r>
        <m:f>
          <m:num>
            <m:r>
              <m:t xml:space="preserve">T</m:t>
            </m:r>
            <m:r>
              <m:t xml:space="preserve">⋅</m:t>
            </m:r>
            <m:r>
              <m:t xml:space="preserve">δ</m:t>
            </m:r>
            <m:r>
              <m:t xml:space="preserve">k</m:t>
            </m:r>
          </m:num>
          <m:den>
            <m:r>
              <m:t xml:space="preserve">k</m:t>
            </m:r>
          </m:den>
        </m:f>
      </m:oMath>
      <w:r>
        <w:rPr/>
        <w:t xml:space="preserve">, где </w:t>
      </w:r>
      <w:r>
        <w:rPr/>
      </w:r>
      <m:oMath xmlns:m="http://schemas.openxmlformats.org/officeDocument/2006/math">
        <m:r>
          <m:t xml:space="preserve">k</m:t>
        </m:r>
      </m:oMath>
      <w:r>
        <w:rPr/>
        <w:t xml:space="preserve"> – число отсчетов на один период, </w:t>
      </w:r>
      <w:r>
        <w:rPr/>
      </w:r>
      <m:oMath xmlns:m="http://schemas.openxmlformats.org/officeDocument/2006/math">
        <m:r>
          <m:t xml:space="preserve">δ</m:t>
        </m:r>
        <m:r>
          <m:t xml:space="preserve">k</m:t>
        </m:r>
      </m:oMath>
      <w:r>
        <w:rPr/>
        <w:t xml:space="preserve"> – стандартное отклонение подсчетов (в пределах единиц, зависящих от джиттера). В условиях высокой SNR (например, &gt;20–30 дБ) метод дает точность порядка 0.1–1%.</w:t>
      </w:r>
    </w:p>
    <w:p>
      <w:pPr>
        <w:pStyle w:val="BodyText"/>
        <w:rPr/>
      </w:pPr>
      <w:r>
        <w:rPr>
          <w:b/>
          <w:bCs/>
        </w:rPr>
        <w:t>Импульсный шум:</w:t>
      </w:r>
      <w:r>
        <w:rPr/>
        <w:t xml:space="preserve"> Устойчивость к редким выбросам обеспечивается усреднением: одиночный импульс даст лишь один-два лишних счета в гистограмме и не изменит пиков. Для жесткости можно применить </w:t>
      </w:r>
      <w:r>
        <w:rPr>
          <w:i/>
          <w:iCs/>
        </w:rPr>
        <w:t>отброс выбросов</w:t>
      </w:r>
      <w:r>
        <w:rPr/>
        <w:t xml:space="preserve"> (например, игнорирование редких пиков гистограммы) или медианную фильтрацию перед формированием гистограммы.</w:t>
      </w:r>
    </w:p>
    <w:p>
      <w:pPr>
        <w:pStyle w:val="BodyText"/>
        <w:rPr/>
      </w:pPr>
      <w:r>
        <w:rPr>
          <w:b/>
          <w:bCs/>
        </w:rPr>
        <w:t>Псевдокод гистограммы:</w:t>
      </w:r>
    </w:p>
    <w:p>
      <w:pPr>
        <w:pStyle w:val="SourceCode"/>
        <w:rPr/>
      </w:pPr>
      <w:r>
        <w:rPr>
          <w:rStyle w:val="VerbatimChar"/>
        </w:rPr>
        <w:t>// Предполагаем, что hist[] уже заполнена</w:t>
      </w:r>
      <w:r>
        <w:rPr/>
        <w:br/>
      </w:r>
      <w:r>
        <w:rPr>
          <w:rStyle w:val="VerbatimChar"/>
        </w:rPr>
        <w:t>// Поиск трех пиков (минимум, средний, максимум)</w:t>
      </w:r>
      <w:r>
        <w:rPr/>
        <w:br/>
      </w:r>
      <w:r>
        <w:rPr>
          <w:rStyle w:val="VerbatimChar"/>
        </w:rPr>
        <w:t>int peak0 = max_index(hist[0..H/3]);      // нижний уровень</w:t>
      </w:r>
      <w:r>
        <w:rPr/>
        <w:br/>
      </w:r>
      <w:r>
        <w:rPr>
          <w:rStyle w:val="VerbatimChar"/>
        </w:rPr>
        <w:t>int peak2 = max_index(hist[2*H/3..H-1]);  // верхний уровень</w:t>
      </w:r>
      <w:r>
        <w:rPr/>
        <w:br/>
      </w:r>
      <w:r>
        <w:rPr>
          <w:rStyle w:val="VerbatimChar"/>
        </w:rPr>
        <w:t>int peak1 = max_index(hist[H/3..2*H/3]);  // средний (обычно ~нулевое смещение)</w:t>
      </w:r>
      <w:r>
        <w:rPr/>
        <w:br/>
      </w:r>
      <w:r>
        <w:rPr>
          <w:rStyle w:val="VerbatimChar"/>
        </w:rPr>
        <w:t>Amplitude = peak2 - peak0; // разница уровней</w:t>
      </w:r>
    </w:p>
    <w:p>
      <w:pPr>
        <w:pStyle w:val="FirstParagraph"/>
        <w:rPr/>
      </w:pPr>
      <w:r>
        <w:rPr/>
        <w:t>Корректировка: для сигнала со смещением zero пиков может быть два (нижний и верхний); если средний уровень не появляется (существенный постоянный коэффициент), то peak1 игнорируется.</w:t>
      </w:r>
    </w:p>
    <w:p>
      <w:pPr>
        <w:pStyle w:val="BodyText"/>
        <w:rPr/>
      </w:pPr>
      <w:r>
        <w:rPr/>
      </w:r>
    </w:p>
    <w:p>
      <w:pPr>
        <w:pStyle w:val="Heading2"/>
        <w:rPr/>
      </w:pPr>
      <w:bookmarkStart w:id="18" w:name="__RefHeading___Toc2181_1929968905"/>
      <w:bookmarkStart w:id="19" w:name="альтернативы-fft-и-корреляция"/>
      <w:bookmarkEnd w:id="18"/>
      <w:r>
        <w:rPr/>
        <w:t>2.7 Альтернативы: FFT и корреляция</w:t>
      </w:r>
    </w:p>
    <w:p>
      <w:pPr>
        <w:pStyle w:val="BodyText"/>
        <w:rPr/>
      </w:pPr>
      <w:r>
        <w:rPr>
          <w:b/>
          <w:bCs/>
        </w:rPr>
        <w:t>FFT-анализ:</w:t>
      </w:r>
      <w:r>
        <w:rPr/>
        <w:t xml:space="preserve"> Вычисление БПФ по Оцифрованному отрезку сигнала позволяет сразу получить спектр. Чтобы достичь необходимой частотной точности, нужно выбирать длинные отрезки (например, $N=1024\div8192$). При $F_s=18.6$ МГц 4096 точек – это 220 мкс, 8192 – 440 мкс задержки. Результирующая разрядность частоты $\Delta f \approx F_s/N$. Следует применять оконную функцию (Hann/Hamming) для уменьшения утечки спектра. Поскольку STM32F407 имеет DSP-сопроцессор, FFT на нем возможен (Си-библиотека CMSIS включает FFT-модуль</w:t>
      </w:r>
      <w:r>
        <w:fldChar w:fldCharType="begin"/>
      </w:r>
      <w:r>
        <w:rPr>
          <w:rStyle w:val="Hyperlink"/>
        </w:rPr>
        <w:instrText xml:space="preserve"> HYPERLINK "https://www.st.com/resource/en/application_note/an4841-digital-signal-processing-for-stm32-microcontrollers-using-cmsis-stmicroelectronics.pdf" \l ":~:text=The%20FFT%20,domain%20signal%20based%20on"</w:instrText>
      </w:r>
      <w:r>
        <w:rPr>
          <w:rStyle w:val="Hyperlink"/>
        </w:rPr>
        <w:fldChar w:fldCharType="separate"/>
      </w:r>
      <w:r>
        <w:rPr>
          <w:rStyle w:val="Hyperlink"/>
        </w:rPr>
        <w:t>[20]</w:t>
      </w:r>
      <w:r>
        <w:rPr>
          <w:rStyle w:val="Hyperlink"/>
        </w:rPr>
        <w:fldChar w:fldCharType="end"/>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[20]</w:t>
      </w:r>
      <w:r>
        <w:rPr>
          <w:rStyle w:val="Hyperlink"/>
        </w:rPr>
        <w:fldChar w:fldCharType="end"/>
      </w:r>
      <w:r>
        <w:rPr/>
        <w:t>), но большие FFT (N&gt;4096) могут быть медленными или невозможными в реальном времени. Для нашего макета рекомендуется выполнять FFT на ПК: MCU только копирует необходимые отсчеты.</w:t>
      </w:r>
    </w:p>
    <w:p>
      <w:pPr>
        <w:pStyle w:val="BodyText"/>
        <w:rPr/>
      </w:pPr>
      <w:r>
        <w:rPr>
          <w:b/>
          <w:bCs/>
        </w:rPr>
        <w:t>Корреляция:</w:t>
      </w:r>
      <w:r>
        <w:rPr/>
        <w:t xml:space="preserve"> Автокорреляция (АКФ) или кросс-корреляция с опорным шаблоном применяются для оценки периода и формы. Автокорреляция пикового сигнала даст периодическую функцию (см. рис. АКФ</w:t>
      </w:r>
      <w:r>
        <w:fldChar w:fldCharType="begin"/>
      </w:r>
      <w:r>
        <w:rPr>
          <w:rStyle w:val="Hyperlink"/>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rPr>
        <w:fldChar w:fldCharType="separate"/>
      </w:r>
      <w:r>
        <w:rPr>
          <w:rStyle w:val="Hyperlink"/>
        </w:rPr>
        <w:t>[21]</w:t>
      </w:r>
      <w:r>
        <w:rPr>
          <w:rStyle w:val="Hyperlink"/>
        </w:rPr>
        <w:fldChar w:fldCharType="end"/>
      </w:r>
      <w:r>
        <w:rPr/>
        <w:t xml:space="preserve">). Требуется буфер ≥2T (два периода) и $O(N\log N)$ операций, что на STM32 сложно. Чаще корреляцию реализуют на FPGA/DSP или ПК. </w:t>
      </w:r>
      <w:r>
        <w:rPr>
          <w:i/>
          <w:iCs/>
        </w:rPr>
        <w:t>Когда применять:</w:t>
      </w:r>
      <w:r>
        <w:rPr/>
        <w:t xml:space="preserve"> когда период меняется во времени, или для обнаружения шаблона в шуме; применяется для обработки ЧМ или периодических импульсов в радаре.</w:t>
      </w:r>
    </w:p>
    <w:p>
      <w:pPr>
        <w:pStyle w:val="BodyText"/>
        <w:rPr/>
      </w:pPr>
      <w:r>
        <w:rPr/>
        <w:t>Когда предпочесть тот или иной метод:</w:t>
      </w:r>
    </w:p>
    <w:p>
      <w:pPr>
        <w:pStyle w:val="BodyText"/>
        <w:rPr/>
      </w:pPr>
      <w:r>
        <w:rPr/>
        <w:t xml:space="preserve">Для </w:t>
      </w:r>
      <w:r>
        <w:rPr>
          <w:b/>
          <w:bCs/>
        </w:rPr>
        <w:t>низкобюджетных встроенных систем</w:t>
      </w:r>
      <w:r>
        <w:rPr/>
        <w:t xml:space="preserve"> (вариант A): достаточно компаратора/счетчика (если нужен только $f$), или простого АЦП + MCU (низкая частота) с бПФ или нулевыми пересечениями.</w:t>
      </w:r>
    </w:p>
    <w:p>
      <w:pPr>
        <w:pStyle w:val="BodyText"/>
        <w:rPr/>
      </w:pPr>
      <w:r>
        <w:rPr/>
        <w:t xml:space="preserve">Для </w:t>
      </w:r>
      <w:r>
        <w:rPr>
          <w:b/>
          <w:bCs/>
        </w:rPr>
        <w:t>гибкой, но не быстрой обработки</w:t>
      </w:r>
      <w:r>
        <w:rPr/>
        <w:t xml:space="preserve"> (вариант B): ADC+MCU (наш случай). Гистограмма + среднее позволяет компенсировать шум, а ПО на ПК делает основную работу. Подойдет для тестов и калибровки устройств (например, стенд «Кристалл» – уже использует этот подход).</w:t>
      </w:r>
    </w:p>
    <w:p>
      <w:pPr>
        <w:pStyle w:val="BodyText"/>
        <w:rPr/>
      </w:pPr>
      <w:r>
        <w:rPr/>
        <w:t xml:space="preserve">Для </w:t>
      </w:r>
      <w:r>
        <w:rPr>
          <w:b/>
          <w:bCs/>
        </w:rPr>
        <w:t>лаборатории или высокоскоростного режима</w:t>
      </w:r>
      <w:r>
        <w:rPr/>
        <w:t xml:space="preserve"> (вариант C): много-ГГц осциллографы/FPGA+ADC (как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rPr>
        <w:fldChar w:fldCharType="separate"/>
      </w:r>
      <w:r>
        <w:rPr>
          <w:rStyle w:val="Hyperlink"/>
        </w:rPr>
        <w:t>[12]</w:t>
      </w:r>
      <w:r>
        <w:rPr>
          <w:rStyle w:val="Hyperlink"/>
        </w:rPr>
        <w:fldChar w:fldCharType="end"/>
      </w:r>
      <w:r>
        <w:rPr/>
        <w:t>, спектроанализатор). Всегда обеспечивают максимальную точность и скорость, но далеко не бюджетный вариант.</w:t>
      </w:r>
      <w:bookmarkEnd w:id="19"/>
    </w:p>
    <w:p>
      <w:pPr>
        <w:pStyle w:val="BodyText"/>
        <w:rPr/>
      </w:pPr>
      <w:r>
        <w:rPr/>
      </w:r>
    </w:p>
    <w:p>
      <w:pPr>
        <w:pStyle w:val="Heading2"/>
        <w:rPr/>
      </w:pPr>
      <w:bookmarkStart w:id="20" w:name="__RefHeading___Toc2183_1929968905"/>
      <w:bookmarkStart w:id="21" w:name="план-экспериментальной-проверки-гл.-3"/>
      <w:bookmarkEnd w:id="20"/>
      <w:r>
        <w:rPr/>
        <w:t>2.8 План экспериментальной проверки</w:t>
      </w:r>
    </w:p>
    <w:p>
      <w:pPr>
        <w:pStyle w:val="BodyText"/>
        <w:rPr/>
      </w:pPr>
      <w:r>
        <w:rPr/>
        <w:t>Для подтверждения результатов предлагается следующий план испытаний:</w:t>
      </w:r>
    </w:p>
    <w:p>
      <w:pPr>
        <w:pStyle w:val="BodyText"/>
        <w:rPr/>
      </w:pPr>
      <w:r>
        <w:rPr>
          <w:b/>
          <w:bCs/>
        </w:rPr>
        <w:t>Тестовые сигналы:</w:t>
      </w:r>
      <w:r>
        <w:rPr/>
        <w:t xml:space="preserve"> Синусоиды, прямоугольники, пилы на частотах, например, 1 кГц, 10 кГц, 100 кГц. Обеспечить стабильные амплитуды. Проверить систему без шума (эталонное измерение частоты и амплитуды).</w:t>
      </w:r>
    </w:p>
    <w:p>
      <w:pPr>
        <w:pStyle w:val="BodyText"/>
        <w:rPr/>
      </w:pPr>
      <w:r>
        <w:rPr>
          <w:b/>
          <w:bCs/>
        </w:rPr>
        <w:t>Добавление шума:</w:t>
      </w:r>
      <w:r>
        <w:rPr/>
        <w:t xml:space="preserve"> Смешивание аддитивного белого шума (5–40 дБ SNR), узкополосных помех (имитация ЭМИ), импульсных выбросов. Фиксировать SNR и амплитуду/частоту измеренного сигнала.</w:t>
      </w:r>
    </w:p>
    <w:p>
      <w:pPr>
        <w:pStyle w:val="BodyText"/>
        <w:rPr/>
      </w:pPr>
      <w:r>
        <w:rPr>
          <w:b/>
          <w:bCs/>
        </w:rPr>
        <w:t>Метрики погрешности:</w:t>
      </w:r>
      <w:r>
        <w:rPr/>
        <w:t xml:space="preserve"> Для каждого теста вычислить смещение (bias) и стандартное отклонение (variance) оценки амплитуды и частоты. Построить зависимости </w:t>
      </w:r>
      <w:r>
        <w:rPr>
          <w:rStyle w:val="VerbatimChar"/>
        </w:rPr>
        <w:t>ошибка vs SNR</w:t>
      </w:r>
      <w:r>
        <w:rPr/>
        <w:t xml:space="preserve">, </w:t>
      </w:r>
      <w:r>
        <w:rPr>
          <w:rStyle w:val="VerbatimChar"/>
        </w:rPr>
        <w:t>ошибка vs частота</w:t>
      </w:r>
      <w:r>
        <w:rPr/>
        <w:t xml:space="preserve">, </w:t>
      </w:r>
      <w:r>
        <w:rPr>
          <w:rStyle w:val="VerbatimChar"/>
        </w:rPr>
        <w:t>ошибка vs M</w:t>
      </w:r>
      <w:r>
        <w:rPr/>
        <w:t xml:space="preserve"> (количество отсчетов). Оценить вероятность ложного срабатывания (false alarm) при отсутствии сигнала и вероятность пропуска (miss) при появлении слабого сигнала.</w:t>
      </w:r>
    </w:p>
    <w:p>
      <w:pPr>
        <w:pStyle w:val="BodyText"/>
        <w:rPr/>
      </w:pPr>
      <w:r>
        <w:rPr>
          <w:b/>
          <w:bCs/>
        </w:rPr>
        <w:t>Сравнение методов:</w:t>
      </w:r>
      <w:r>
        <w:rPr/>
        <w:t xml:space="preserve"> В тестах параллельно проводить измерение на стандартном эталонном приборе (цифровом осциллографе 20 GS/s и/или частотомере) и на нашем макете. Например, для каждого сигнала получить FFT (для проверки спектральных компонентов) и гистограмму.</w:t>
      </w:r>
    </w:p>
    <w:p>
      <w:pPr>
        <w:pStyle w:val="BodyText"/>
        <w:rPr/>
      </w:pPr>
      <w:r>
        <w:rPr>
          <w:b/>
          <w:bCs/>
        </w:rPr>
        <w:t>Статистика гистограммы:</w:t>
      </w:r>
      <w:r>
        <w:rPr/>
        <w:t xml:space="preserve"> Проверить корректность алгоритма (выявление правильных пиков гистограммы) при разных длительностях выборки и при наличии спайковых помех.</w:t>
      </w:r>
    </w:p>
    <w:p>
      <w:pPr>
        <w:pStyle w:val="BodyText"/>
        <w:rPr/>
      </w:pPr>
      <w:r>
        <w:rPr>
          <w:b/>
          <w:bCs/>
        </w:rPr>
        <w:t>Измерение нагрузки MCU:</w:t>
      </w:r>
      <w:r>
        <w:rPr/>
        <w:t xml:space="preserve"> Измерить занятость DMA и CPU при разных настройках (чтобы убедиться, что MCU успевает при 18.6 МС/с). Замерить джиттер тактов (осциллографом) и его влияние.</w:t>
      </w:r>
      <w:bookmarkEnd w:id="21"/>
    </w:p>
    <w:p>
      <w:pPr>
        <w:pStyle w:val="BodyText"/>
        <w:rPr/>
      </w:pPr>
      <w:r>
        <w:rPr/>
      </w:r>
    </w:p>
    <w:p>
      <w:pPr>
        <w:pStyle w:val="Heading2"/>
        <w:rPr/>
      </w:pPr>
      <w:bookmarkStart w:id="22" w:name="__RefHeading___Toc2185_1929968905"/>
      <w:bookmarkEnd w:id="22"/>
      <w:r>
        <w:rPr/>
        <w:t>2.9</w:t>
      </w:r>
      <w:bookmarkStart w:id="23" w:name="X2119945fa5810b9d70c01541b603985e23db768"/>
      <w:r>
        <w:rPr/>
        <w:t>. Описание и обоснование выбранного подхода</w:t>
      </w:r>
    </w:p>
    <w:p>
      <w:pPr>
        <w:pStyle w:val="BodyText"/>
        <w:rPr/>
      </w:pPr>
      <w:r>
        <w:rPr>
          <w:b/>
          <w:bCs/>
        </w:rPr>
        <w:t>Выбор компонентов:</w:t>
      </w:r>
      <w:r>
        <w:rPr/>
        <w:t xml:space="preserve"> Предложенный макет основан на микроконтроллере STM32F407 (ARM Cortex-M4, 168 МГц) и высокоскоростном АЦП от Analog Devices (8 бит, скорость до 40 Мвыб/с). STM32F407 содержит три 12-битных АЦП с максимальной скоростью 2.4</w:t>
      </w:r>
      <w:r>
        <w:rPr>
          <w:rFonts w:cs="Arial" w:ascii="Arial" w:hAnsi="Arial"/>
        </w:rPr>
        <w:t> </w:t>
      </w:r>
      <w:r>
        <w:rPr/>
        <w:t>MS/s (в 3-хканальном режиме до 7.2</w:t>
      </w:r>
      <w:r>
        <w:rPr>
          <w:rFonts w:cs="Arial" w:ascii="Arial" w:hAnsi="Arial"/>
        </w:rPr>
        <w:t> </w:t>
      </w:r>
      <w:r>
        <w:rPr/>
        <w:t>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[17]</w:t>
      </w:r>
      <w:r>
        <w:rPr>
          <w:rStyle w:val="Hyperlink"/>
        </w:rPr>
        <w:fldChar w:fldCharType="end"/>
      </w:r>
      <w:r>
        <w:rPr/>
        <w:t>, что недостаточно для наших целей. Поэтому выбран внешний SAR-ADC от Analog Devices, способный в реальном времени снимать сигнал с частотой до десятков МГц (многие современные АЦП имеют до 125</w:t>
      </w:r>
      <w:r>
        <w:rPr>
          <w:rFonts w:cs="Arial" w:ascii="Arial" w:hAnsi="Arial"/>
        </w:rPr>
        <w:t> </w:t>
      </w:r>
      <w:r>
        <w:rPr/>
        <w:t>MS/s</w:t>
      </w:r>
      <w:r>
        <w:fldChar w:fldCharType="begin"/>
      </w:r>
      <w:r>
        <w:rPr>
          <w:rStyle w:val="Hyperlink"/>
        </w:rPr>
        <w:instrText xml:space="preserve"> HYPERLINK "https://www.analog.com/en/product-category/high-speed-adcs.html" \l ":~:text=Analog%20Devices%E2%80%99%20high%20speed%20analog,10%20MSPS%20to%20125%20MSPS"</w:instrText>
      </w:r>
      <w:r>
        <w:rPr>
          <w:rStyle w:val="Hyperlink"/>
        </w:rPr>
        <w:fldChar w:fldCharType="separate"/>
      </w:r>
      <w:r>
        <w:rPr>
          <w:rStyle w:val="Hyperlink"/>
        </w:rPr>
        <w:t>[19]</w:t>
      </w:r>
      <w:r>
        <w:rPr>
          <w:rStyle w:val="Hyperlink"/>
        </w:rPr>
        <w:fldChar w:fldCharType="end"/>
      </w:r>
      <w:r>
        <w:rPr/>
        <w:t>).</w:t>
      </w:r>
    </w:p>
    <w:p>
      <w:pPr>
        <w:pStyle w:val="BodyText"/>
        <w:rPr/>
      </w:pPr>
      <w:r>
        <w:rPr>
          <w:b/>
          <w:bCs/>
        </w:rPr>
        <w:t>Принцип измерения:</w:t>
      </w:r>
      <w:r>
        <w:rPr/>
        <w:t xml:space="preserve"> Сигнал непрерывно дискретизируется АЦП с периодом ~53.8 нс (18.6 Мвыб/с) и передается через паралелльный интерфейс в STM32F407 с помощью DMA. Для оценки </w:t>
      </w:r>
      <w:r>
        <w:rPr>
          <w:b/>
          <w:bCs/>
        </w:rPr>
        <w:t>амплитуды</w:t>
      </w:r>
      <w:r>
        <w:rPr/>
        <w:t xml:space="preserve"> 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берется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трехпиковый паттерн сохраняется. Для оценки </w:t>
      </w:r>
      <w:r>
        <w:rPr>
          <w:b/>
          <w:bCs/>
        </w:rPr>
        <w:t>частоты</w:t>
      </w:r>
      <w:r>
        <w:rPr/>
        <w:t xml:space="preserve"> используется средний период: например, подсчет числа отсчетов ADC между совпадениями пиков (или усреднение интервала нулевых пересечений). Конкретный метод – подсчет среднего количества отсчетов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передается на компьютер.</w:t>
      </w:r>
    </w:p>
    <w:p>
      <w:pPr>
        <w:pStyle w:val="BodyText"/>
        <w:rPr/>
      </w:pPr>
      <w:r>
        <w:rPr>
          <w:b/>
          <w:bCs/>
        </w:rPr>
        <w:t>Ожидаемая производительность:</w:t>
      </w:r>
      <w:r>
        <w:rPr/>
        <w:t xml:space="preserve"> При частоте измеряемого сигнала до $\sim$200 кГц (~5 мкс период), при 18.6 MS/s получается ~93 отсчета на 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(±Vref). Шум АЦП и низкое разрешение (8–12 бит) накладывают погрешность (~несколько единиц младшего бита на пике). Однако за счет большого объема выборок система умеет усреднять ошибки.</w:t>
      </w:r>
    </w:p>
    <w:p>
      <w:pPr>
        <w:pStyle w:val="BodyText"/>
        <w:rPr/>
      </w:pPr>
      <w:r>
        <w:rPr>
          <w:b/>
          <w:bCs/>
        </w:rPr>
        <w:t>Преимущества постобработки на ПК:</w:t>
      </w:r>
      <w:r>
        <w:rPr/>
        <w:t xml:space="preserve"> Собранный поток отсчетов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дает лучшую адаптивность – алгоритмы легко обновляются в ПО, в отличие от жесткой встроенной логики аналого-цифровых схем.</w:t>
      </w:r>
      <w:bookmarkEnd w:id="23"/>
    </w:p>
    <w:p>
      <w:pPr>
        <w:pStyle w:val="BodyText"/>
        <w:rPr>
          <w:lang w:val="ru-RU"/>
        </w:rPr>
      </w:pPr>
      <w:r>
        <w:rPr>
          <w:lang w:val="ru-RU"/>
        </w:rPr>
      </w:r>
    </w:p>
    <w:p>
      <w:pPr>
        <w:pStyle w:val="BodyText"/>
        <w:rPr>
          <w:lang w:val="ru-RU"/>
        </w:rPr>
      </w:pPr>
      <w:r>
        <w:rPr>
          <w:lang w:val="ru-RU"/>
        </w:rPr>
      </w:r>
      <w:bookmarkStart w:id="24" w:name="__RefHeading___Toc229529024"/>
      <w:bookmarkStart w:id="25" w:name="__RefHeading___Toc229529024"/>
      <w:bookmarkEnd w:id="25"/>
      <w:r>
        <w:br w:type="page"/>
      </w:r>
    </w:p>
    <w:p>
      <w:pPr>
        <w:pStyle w:val="Heading1"/>
        <w:numPr>
          <w:ilvl w:val="0"/>
          <w:numId w:val="1"/>
        </w:numPr>
        <w:spacing w:before="0" w:after="0"/>
        <w:rPr/>
      </w:pPr>
      <w:bookmarkStart w:id="26" w:name="__RefHeading___Toc229529025"/>
      <w:bookmarkEnd w:id="26"/>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Новиков, Ю. Н. Подготовка и защита магистерских диссертаций и бакалаврских работ : учебно-методическое пособие / Ю. Н. Новиков. — 2-е изд., ст</w:t>
      </w:r>
      <w:r>
        <w:rPr>
          <w:i w:val="false"/>
          <w:iCs w:val="false"/>
          <w:color w:val="auto"/>
          <w:sz w:val="28"/>
          <w:szCs w:val="28"/>
          <w:u w:val="none"/>
        </w:rPr>
        <w:t xml:space="preserve">ер. — Санкт-Петербург : Лань, 2022. — 32 с. — ISBN 978-5-8114-1449-9. — Текст : электронный // Лань : электронно-библиотечная система. — URL: </w:t>
      </w:r>
      <w:r>
        <w:rPr>
          <w:rStyle w:val="Hyperlink"/>
          <w:i w:val="false"/>
          <w:iCs w:val="false"/>
          <w:color w:val="auto"/>
          <w:sz w:val="28"/>
          <w:szCs w:val="28"/>
          <w:u w:val="none"/>
        </w:rPr>
        <w:t>https://e.lanbook.com/book/212054</w:t>
      </w:r>
      <w:r>
        <w:rPr>
          <w:i w:val="false"/>
          <w:iCs w:val="false"/>
          <w:color w:val="auto"/>
          <w:sz w:val="28"/>
          <w:szCs w:val="28"/>
          <w:u w:val="none"/>
        </w:rPr>
        <w:t xml:space="preserve">  (дата обращения: 13.05.2026). — Режим доступа: для авториз. пользователей.</w:t>
      </w:r>
    </w:p>
    <w:p>
      <w:pPr>
        <w:pStyle w:val="BodyText"/>
        <w:rPr/>
      </w:pPr>
      <w:r>
        <w:rPr>
          <w:i w:val="false"/>
          <w:iCs w:val="false"/>
          <w:color w:val="auto"/>
          <w:sz w:val="28"/>
          <w:szCs w:val="28"/>
          <w:u w:val="none"/>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i w:val="false"/>
          <w:iCs w:val="false"/>
          <w:color w:val="auto"/>
          <w:sz w:val="28"/>
          <w:szCs w:val="28"/>
          <w:u w:val="none"/>
        </w:rPr>
        <w:t>https://www.iprbookshop.ru/72577.html</w:t>
      </w:r>
      <w:r>
        <w:rPr>
          <w:i w:val="false"/>
          <w:iCs w:val="false"/>
          <w:color w:val="auto"/>
          <w:sz w:val="28"/>
          <w:szCs w:val="28"/>
          <w:u w:val="none"/>
        </w:rPr>
        <w:t xml:space="preserve">  (дата обращения: 13.05.2026). — Режим доступа: для авторизир. пользователей</w:t>
      </w:r>
    </w:p>
    <w:p>
      <w:pPr>
        <w:pStyle w:val="BodyText"/>
        <w:rPr/>
      </w:pPr>
      <w:r>
        <w:rPr>
          <w:i w:val="false"/>
          <w:iCs w:val="false"/>
          <w:color w:val="auto"/>
          <w:sz w:val="28"/>
          <w:szCs w:val="28"/>
          <w:u w:val="none"/>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 xml:space="preserve">4. Положение о выпускной квалификационной работе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i w:val="false"/>
          <w:iCs w:val="false"/>
          <w:color w:val="000000"/>
          <w:u w:val="none"/>
          <w:shd w:fill="FFFFFF" w:val="clear"/>
        </w:rPr>
        <w:t> </w:t>
      </w:r>
      <w:r>
        <w:rPr>
          <w:rStyle w:val="Hyperlink"/>
          <w:i w:val="false"/>
          <w:iCs w:val="false"/>
          <w:color w:val="000000"/>
          <w:sz w:val="28"/>
          <w:szCs w:val="28"/>
          <w:u w:val="none"/>
          <w:shd w:fill="FFFFFF" w:val="clear"/>
        </w:rPr>
        <w:t>https://elib.oreluniver.ru/m/19d3f6fa-9253-4b83-9a09-daa98a7532dd</w:t>
      </w:r>
      <w:r>
        <w:rPr>
          <w:i w:val="false"/>
          <w:iCs w:val="false"/>
          <w:color w:val="auto"/>
          <w:u w:val="none"/>
        </w:rPr>
        <w:t xml:space="preserve"> </w:t>
      </w:r>
      <w:r>
        <w:rPr>
          <w:i w:val="false"/>
          <w:iCs w:val="false"/>
          <w:color w:val="auto"/>
          <w:sz w:val="28"/>
          <w:szCs w:val="28"/>
          <w:u w:val="none"/>
        </w:rPr>
        <w:t>(дата обращения: 13.05.2026). — Режим доступа: для авторизир. пользователей</w:t>
      </w:r>
    </w:p>
    <w:p>
      <w:pPr>
        <w:pStyle w:val="BodyText"/>
        <w:rPr/>
      </w:pPr>
      <w:r>
        <w:rPr>
          <w:i w:val="false"/>
          <w:iCs w:val="false"/>
          <w:color w:val="000000"/>
          <w:sz w:val="28"/>
          <w:szCs w:val="28"/>
          <w:u w:val="none"/>
          <w:shd w:fill="auto" w:val="clear"/>
        </w:rPr>
        <w:t xml:space="preserve">6. </w:t>
      </w:r>
      <w:r>
        <w:rPr>
          <w:i w:val="false"/>
          <w:iCs w:val="false"/>
          <w:color w:val="auto"/>
          <w:sz w:val="28"/>
          <w:szCs w:val="28"/>
          <w:u w:val="none"/>
        </w:rPr>
        <w:t xml:space="preserve">Периодические сигналы </w:t>
      </w:r>
      <w:r>
        <w:rPr>
          <w:rStyle w:val="Hyperlink"/>
          <w:i w:val="false"/>
          <w:iCs w:val="false"/>
          <w:color w:val="auto"/>
          <w:sz w:val="28"/>
          <w:szCs w:val="28"/>
          <w:u w:val="none"/>
        </w:rPr>
        <w:t>https://studfile.net/preview/7013044/page:2</w:t>
      </w:r>
    </w:p>
    <w:p>
      <w:pPr>
        <w:pStyle w:val="BodyText"/>
        <w:rPr/>
      </w:pPr>
      <w:r>
        <w:rPr>
          <w:i w:val="false"/>
          <w:iCs w:val="false"/>
          <w:color w:val="auto"/>
          <w:u w:val="none"/>
        </w:rPr>
        <w:t>7. Контрольно-индикационный прибор Пикор-Лед. Измерение характеристик изделий (дата обращения: 30.05.2026). Режим доступа - https://uwbs.ru/development/example-measurements</w:t>
      </w:r>
    </w:p>
    <w:p>
      <w:pPr>
        <w:pStyle w:val="BodyText"/>
        <w:rPr/>
      </w:pPr>
      <w:r>
        <w:rP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pPr>
        <w:pStyle w:val="BodyText"/>
        <w:rPr/>
      </w:pPr>
      <w:r>
        <w:rPr/>
        <w:t>9. Периодические сигналы (дата обращения: 30.05.2026). Режим доступа - https://studfile.net/preview/7013044/page:2</w:t>
      </w:r>
    </w:p>
    <w:p>
      <w:pPr>
        <w:pStyle w:val="BodyText"/>
        <w:rPr/>
      </w:pPr>
      <w:r>
        <w:rP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pPr>
        <w:pStyle w:val="BodyText"/>
        <w:rPr/>
      </w:pPr>
      <w:r>
        <w:rP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pPr>
        <w:pStyle w:val="BodyText"/>
        <w:rPr/>
      </w:pPr>
      <w:r>
        <w:rP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pPr>
        <w:pStyle w:val="BodyText"/>
        <w:rPr/>
      </w:pPr>
      <w:r>
        <w:rPr/>
        <w:t>13. Экспериментальное исследование кратковременной нестабильности частоты опорных генераторов для применения в радионавигационных приёмниках. (дата обращения: 30.05.2026). Режим доступа - https://srns.ru/images/c/ce/20140623_Сергеев_Н.И.бакалаврская_работа.pdf</w:t>
      </w:r>
    </w:p>
    <w:p>
      <w:pPr>
        <w:pStyle w:val="BodyText"/>
        <w:rPr/>
      </w:pPr>
      <w:r>
        <w:rPr/>
        <w:t>14. Импульсные помехи (дата обращения: 30.05.2026). Режим доступа - https://studfile.net/preview/7190937/page:26</w:t>
      </w:r>
    </w:p>
    <w:p>
      <w:pPr>
        <w:pStyle w:val="BodyText"/>
        <w:rPr/>
      </w:pPr>
      <w:r>
        <w:rPr/>
        <w:t>15. Цифровой частотомер. Структурная схема. Принцип работы (методичка). (дата обращения: 30.05.2026). Режим доступа - https://studfile.net/preview/10417297/page:8</w:t>
      </w:r>
    </w:p>
    <w:p>
      <w:pPr>
        <w:pStyle w:val="BodyText"/>
        <w:rPr/>
      </w:pPr>
      <w:r>
        <w:rP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pPr>
        <w:pStyle w:val="BodyText"/>
        <w:rPr/>
      </w:pPr>
      <w:r>
        <w:rPr/>
        <w:t>17. https://www.st.com/resource/en/datasheet/dm00037051.pdf (дата обращения: 30.05.2026). Режим доступа - https://www.st.com/resource/en/datasheet/dm00037051.pdf</w:t>
      </w:r>
    </w:p>
    <w:p>
      <w:pPr>
        <w:pStyle w:val="BodyText"/>
        <w:rPr/>
      </w:pPr>
      <w:r>
        <w:rPr/>
        <w:t>18. Schmitt trigger - Wikipedia (дата обращения: 30.05.2026). Режим доступа - https://en.wikipedia.org/wiki/Schmitt_trigger</w:t>
      </w:r>
    </w:p>
    <w:p>
      <w:pPr>
        <w:pStyle w:val="BodyText"/>
        <w:rPr/>
      </w:pPr>
      <w:r>
        <w:rPr/>
        <w:t>19. High Speed ADCs | Analog Devices (дата обращения: 30.05.2026). Режим доступа - https://www.analog.com/en/product-category/high-speed-adcs.html</w:t>
      </w:r>
    </w:p>
    <w:p>
      <w:pPr>
        <w:pStyle w:val="BodyText"/>
        <w:rPr/>
      </w:pPr>
      <w:r>
        <w:rPr/>
        <w:t>20. Digital signal processing for STM32 microcontrollers using CMSIS.  (дата обращения: 30.05.2026). Режим доступа - https://www.st.com/resource/en/application_note/an4841-digital-signal-processing-for-stm32-microcontrollers-using-cmsis-stmicroelectronics.pdf</w:t>
      </w:r>
    </w:p>
    <w:p>
      <w:pPr>
        <w:pStyle w:val="BodyText"/>
        <w:rPr/>
      </w:pPr>
      <w:r>
        <w:rPr/>
        <w:t>21. Автокорреляционная функция — Википедия (дата обращения: 30.05.2026). Режим доступа - https://ru.wikipedia.org/wiki/Автокорреляционная_функция</w:t>
      </w:r>
    </w:p>
    <w:p>
      <w:pPr>
        <w:pStyle w:val="BodyText"/>
        <w:rPr/>
      </w:pPr>
      <w:r>
        <w:rPr/>
        <w:t>22. RU2229140C1 - Способ спектрального анализа многочастотных периодических сигналов, представленных цифровыми отсчетами - Google Patents (дата обращения: 30.05.2026). Режим доступа - https://patents.google.com/patent/RU2229140C1/ru</w: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r>
        <w:br w:type="page"/>
      </w:r>
    </w:p>
    <w:p>
      <w:pPr>
        <w:pStyle w:val="Normal"/>
        <w:spacing w:before="0" w:after="0"/>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27" w:name="__RefHeading___Toc229529026"/>
      <w:bookmarkEnd w:id="27"/>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mc:AlternateContent>
          <mc:Choice Requires="wps">
            <w:drawing>
              <wp:anchor behindDoc="0" distT="5080" distB="5080" distL="5080" distR="5080" simplePos="0" locked="0" layoutInCell="1" allowOverlap="1" relativeHeight="92">
                <wp:simplePos x="0" y="0"/>
                <wp:positionH relativeFrom="column">
                  <wp:posOffset>2739390</wp:posOffset>
                </wp:positionH>
                <wp:positionV relativeFrom="paragraph">
                  <wp:posOffset>-750570</wp:posOffset>
                </wp:positionV>
                <wp:extent cx="970915" cy="400050"/>
                <wp:effectExtent l="5080" t="5080" r="5080" b="5080"/>
                <wp:wrapNone/>
                <wp:docPr id="4" name="Прямоугольник 38"/>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8" path="m0,0l-2147483645,0l-2147483645,-2147483646l0,-2147483646xe" fillcolor="white" stroked="t" o:allowincell="f" style="position:absolute;margin-left:215.7pt;margin-top:-59.1pt;width:76.4pt;height:31.4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mc:AlternateContent>
          <mc:Choice Requires="wps">
            <w:drawing>
              <wp:anchor behindDoc="0" distT="5080" distB="5080" distL="5080" distR="5080" simplePos="0" locked="0" layoutInCell="1" allowOverlap="1" relativeHeight="93">
                <wp:simplePos x="0" y="0"/>
                <wp:positionH relativeFrom="column">
                  <wp:posOffset>2653665</wp:posOffset>
                </wp:positionH>
                <wp:positionV relativeFrom="paragraph">
                  <wp:posOffset>-632460</wp:posOffset>
                </wp:positionV>
                <wp:extent cx="970915" cy="400050"/>
                <wp:effectExtent l="5080" t="5080" r="5080" b="5080"/>
                <wp:wrapNone/>
                <wp:docPr id="5" name="Прямоугольник 37"/>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7" path="m0,0l-2147483645,0l-2147483645,-2147483646l0,-2147483646xe" fillcolor="white" stroked="t" o:allowincell="f" style="position:absolute;margin-left:208.95pt;margin-top:-49.8pt;width:76.4pt;height:31.45pt;mso-wrap-style:none;v-text-anchor:middle">
                <v:fill o:detectmouseclick="t" type="solid" color2="black"/>
                <v:stroke color="white" weight="9360" joinstyle="round" endcap="flat"/>
                <w10:wrap type="none"/>
              </v:rect>
            </w:pict>
          </mc:Fallback>
        </mc:AlternateContent>
        <mc:AlternateContent>
          <mc:Choice Requires="wps">
            <w:drawing>
              <wp:anchor behindDoc="0" distT="5080" distB="5080" distL="5080" distR="5080" simplePos="0" locked="0" layoutInCell="1" allowOverlap="1" relativeHeight="94">
                <wp:simplePos x="0" y="0"/>
                <wp:positionH relativeFrom="column">
                  <wp:posOffset>3310890</wp:posOffset>
                </wp:positionH>
                <wp:positionV relativeFrom="paragraph">
                  <wp:posOffset>-706755</wp:posOffset>
                </wp:positionV>
                <wp:extent cx="970915" cy="400050"/>
                <wp:effectExtent l="5080" t="5080" r="5080" b="5080"/>
                <wp:wrapNone/>
                <wp:docPr id="6" name="Прямоугольник 36"/>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6" path="m0,0l-2147483645,0l-2147483645,-2147483646l0,-2147483646xe" fillcolor="white" stroked="t" o:allowincell="f" style="position:absolute;margin-left:260.7pt;margin-top:-55.65pt;width:76.4pt;height:31.45pt;mso-wrap-style:none;v-text-anchor:middle">
                <v:fill o:detectmouseclick="t" type="solid" color2="black"/>
                <v:stroke color="white" weight="9360" joinstyle="round" endcap="flat"/>
                <w10:wrap type="none"/>
              </v:rect>
            </w:pict>
          </mc:Fallback>
        </mc:AlternateContent>
      </w: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5"/>
        <w:gridCol w:w="1137"/>
        <w:gridCol w:w="2064"/>
        <w:gridCol w:w="1622"/>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mc:AlternateContent>
          <mc:Choice Requires="wps">
            <w:drawing>
              <wp:anchor behindDoc="0" distT="5080" distB="5080" distL="5080" distR="5080" simplePos="0" locked="0" layoutInCell="1" allowOverlap="1" relativeHeight="96">
                <wp:simplePos x="0" y="0"/>
                <wp:positionH relativeFrom="column">
                  <wp:posOffset>2823845</wp:posOffset>
                </wp:positionH>
                <wp:positionV relativeFrom="paragraph">
                  <wp:posOffset>-438785</wp:posOffset>
                </wp:positionV>
                <wp:extent cx="666750" cy="295275"/>
                <wp:effectExtent l="5080" t="5080" r="5080" b="5080"/>
                <wp:wrapNone/>
                <wp:docPr id="7" name="Прямоугольник 35"/>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5" path="m0,0l-2147483645,0l-2147483645,-2147483646l0,-2147483646xe" fillcolor="white" stroked="t" o:allowincell="f" style="position:absolute;margin-left:222.35pt;margin-top:-34.55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w:t>
        <w:tab/>
        <w:tab/>
        <w:tab/>
        <w:tab/>
        <w:tab/>
        <w:tab/>
        <w:tab/>
        <w:tab/>
        <w:tab/>
        <w:t xml:space="preserve">;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предмет исследования – </w:t>
        <w:tab/>
        <w:tab/>
        <w:tab/>
        <w:tab/>
        <w:tab/>
        <w:tab/>
        <w:tab/>
        <w:tab/>
        <w:tab/>
        <w:t xml:space="preserve">; </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 xml:space="preserve">цель исследования – </w:t>
        <w:tab/>
        <w:tab/>
        <w:tab/>
      </w:r>
      <w:r>
        <w:rPr>
          <w:rFonts w:ascii="Times New Roman" w:hAnsi="Times New Roman"/>
          <w:i/>
          <w:iCs/>
          <w:sz w:val="28"/>
          <w:szCs w:val="28"/>
          <w:u w:val="single"/>
        </w:rPr>
        <w:tab/>
        <w:tab/>
        <w:tab/>
        <w:tab/>
        <w:tab/>
        <w:tab/>
        <w:tab/>
        <w:tab/>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97">
                <wp:simplePos x="0" y="0"/>
                <wp:positionH relativeFrom="column">
                  <wp:posOffset>2861945</wp:posOffset>
                </wp:positionH>
                <wp:positionV relativeFrom="paragraph">
                  <wp:posOffset>-314960</wp:posOffset>
                </wp:positionV>
                <wp:extent cx="666750" cy="295275"/>
                <wp:effectExtent l="5080" t="5080" r="5080" b="5080"/>
                <wp:wrapNone/>
                <wp:docPr id="8"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09"/>
        <w:gridCol w:w="2553"/>
        <w:gridCol w:w="1654"/>
      </w:tblGrid>
      <w:tr>
        <w:trPr/>
        <w:tc>
          <w:tcPr>
            <w:tcW w:w="56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09"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3"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9"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9"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9"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9"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9"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09"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9"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mc:AlternateContent>
          <mc:Choice Requires="wps">
            <w:drawing>
              <wp:anchor behindDoc="0" distT="5080" distB="5080" distL="5080" distR="5080" simplePos="0" locked="0" layoutInCell="1" allowOverlap="1" relativeHeight="95">
                <wp:simplePos x="0" y="0"/>
                <wp:positionH relativeFrom="column">
                  <wp:posOffset>2596515</wp:posOffset>
                </wp:positionH>
                <wp:positionV relativeFrom="paragraph">
                  <wp:posOffset>-415925</wp:posOffset>
                </wp:positionV>
                <wp:extent cx="1257300" cy="352425"/>
                <wp:effectExtent l="5080" t="5080" r="5080" b="5080"/>
                <wp:wrapNone/>
                <wp:docPr id="9" name="Прямоугольник 33"/>
                <a:graphic xmlns:a="http://schemas.openxmlformats.org/drawingml/2006/main">
                  <a:graphicData uri="http://schemas.microsoft.com/office/word/2010/wordprocessingShape">
                    <wps:wsp>
                      <wps:cNvSpPr/>
                      <wps:spPr>
                        <a:xfrm>
                          <a:off x="0" y="0"/>
                          <a:ext cx="1257480" cy="35244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3" path="m0,0l-2147483645,0l-2147483645,-2147483646l0,-2147483646xe" fillcolor="white" stroked="t" o:allowincell="f" style="position:absolute;margin-left:204.45pt;margin-top:-32.75pt;width:98.95pt;height:27.7pt;mso-wrap-style:none;v-text-anchor:middle">
                <v:fill o:detectmouseclick="t" type="solid" color2="black"/>
                <v:stroke color="white" weight="9360" joinstyle="round" endcap="flat"/>
                <w10:wrap type="none"/>
              </v:rect>
            </w:pict>
          </mc:Fallback>
        </mc:AlternateContent>
      </w: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9"/>
      <w:headerReference w:type="first" r:id="rId10"/>
      <w:footerReference w:type="default" r:id="rId11"/>
      <w:footerReference w:type="first" r:id="rId12"/>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88">
              <wp:simplePos x="0" y="0"/>
              <wp:positionH relativeFrom="margin">
                <wp:align>center</wp:align>
              </wp:positionH>
              <wp:positionV relativeFrom="paragraph">
                <wp:posOffset>635</wp:posOffset>
              </wp:positionV>
              <wp:extent cx="579755" cy="153670"/>
              <wp:effectExtent l="0" t="0" r="0" b="0"/>
              <wp:wrapNone/>
              <wp:docPr id="10"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48</w:t>
                          </w:r>
                          <w:r>
                            <w:rPr>
                              <w:rStyle w:val="PageNumber"/>
                              <w:color w:val="000000"/>
                            </w:rPr>
                            <w:fldChar w:fldCharType="end"/>
                          </w:r>
                        </w:p>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1pt;margin-top:0.05pt;width:45.6pt;height:12.0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48</w:t>
                    </w:r>
                    <w:r>
                      <w:rPr>
                        <w:rStyle w:val="PageNumber"/>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8"/>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1605</TotalTime>
  <Application>LibreOffice/24.2.7.2$Linux_X86_64 LibreOffice_project/420$Build-2</Application>
  <AppVersion>15.0000</AppVersion>
  <Pages>48</Pages>
  <Words>8489</Words>
  <Characters>63012</Characters>
  <CharactersWithSpaces>71379</CharactersWithSpaces>
  <Paragraphs>587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2026-06-06T19:02:23Z</dcterms:modified>
  <cp:revision>16</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