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5.xml" ContentType="application/vnd.openxmlformats-officedocument.wordprocessingml.footer+xml"/>
  <Override PartName="/word/media/image1.png" ContentType="image/png"/>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4.xml" ContentType="application/vnd.openxmlformats-officedocument.wordprocessingml.footer+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lineRule="auto" w:line="264"/>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ФЕДЕРАЛЬНОЕ ГОСУДАРСТВЕННОЕ БЮДЖЕТНОЕ ОБРАЗОВАТЕЛЬНОЕ УЧРЕЖДЕНИЕ ВЫСШЕГО ОБРАЗОВАНИЯ</w:t>
      </w:r>
    </w:p>
    <w:p>
      <w:pPr>
        <w:pStyle w:val="Normal"/>
        <w:widowControl w:val="false"/>
        <w:tabs>
          <w:tab w:val="clear" w:pos="708"/>
          <w:tab w:val="left" w:pos="2425" w:leader="none"/>
        </w:tabs>
        <w:spacing w:lineRule="auto" w:line="240"/>
        <w:jc w:val="center"/>
        <w:rPr/>
      </w:pPr>
      <w:r>
        <w:rPr>
          <w:rFonts w:eastAsia="Arial Unicode MS" w:cs="Arial Unicode MS" w:ascii="Times New Roman" w:hAnsi="Times New Roman"/>
          <w:color w:val="000000"/>
          <w:sz w:val="28"/>
          <w:szCs w:val="28"/>
          <w:lang w:eastAsia="ru-RU"/>
        </w:rPr>
        <w:t xml:space="preserve">«ОРЛОВСКИЙ ГОСУДАРСТВЕННЫЙ УНИВЕРСИТЕТ </w:t>
        <w:br/>
        <w:t>имени И.С. ТУРГЕНЕВА»</w:t>
      </w:r>
    </w:p>
    <w:p>
      <w:pPr>
        <w:pStyle w:val="Normal"/>
        <w:widowControl w:val="false"/>
        <w:tabs>
          <w:tab w:val="clear" w:pos="708"/>
          <w:tab w:val="left" w:pos="2425" w:leader="none"/>
        </w:tabs>
        <w:spacing w:lineRule="auto" w:line="24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r>
    </w:p>
    <w:p>
      <w:pPr>
        <w:pStyle w:val="Normal"/>
        <w:widowControl w:val="false"/>
        <w:tabs>
          <w:tab w:val="clear" w:pos="708"/>
          <w:tab w:val="left" w:pos="2425" w:leader="none"/>
        </w:tabs>
        <w:spacing w:lineRule="auto" w:line="240"/>
        <w:ind w:hanging="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Институт приборостроения, автоматизации и информационных технологий</w:t>
      </w:r>
    </w:p>
    <w:p>
      <w:pPr>
        <w:pStyle w:val="Normal"/>
        <w:widowControl w:val="false"/>
        <w:spacing w:lineRule="auto" w:line="240"/>
        <w:ind w:firstLine="709" w:end="45"/>
        <w:rPr>
          <w:rFonts w:ascii="Times New Roman" w:hAnsi="Times New Roman" w:eastAsia="Arial Unicode MS"/>
          <w:color w:val="000000"/>
          <w:sz w:val="28"/>
          <w:szCs w:val="28"/>
          <w:lang w:eastAsia="ru-RU"/>
        </w:rPr>
      </w:pPr>
      <w:r>
        <w:rPr>
          <w:rFonts w:eastAsia="Arial Unicode MS" w:ascii="Times New Roman" w:hAnsi="Times New Roman"/>
          <w:color w:val="000000"/>
          <w:sz w:val="28"/>
          <w:szCs w:val="28"/>
          <w:lang w:eastAsia="ru-RU"/>
        </w:rPr>
      </w:r>
    </w:p>
    <w:p>
      <w:pPr>
        <w:pStyle w:val="Normal"/>
        <w:widowControl w:val="false"/>
        <w:spacing w:lineRule="auto" w:line="240"/>
        <w:ind w:firstLine="709" w:end="45"/>
        <w:jc w:val="end"/>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Кафедра электроники, радиотехники и систем связи</w:t>
      </w:r>
    </w:p>
    <w:p>
      <w:pPr>
        <w:pStyle w:val="Normal"/>
        <w:widowControl w:val="false"/>
        <w:spacing w:lineRule="auto" w:line="240"/>
        <w:ind w:firstLine="709" w:end="45"/>
        <w:rPr>
          <w:rFonts w:ascii="Times New Roman" w:hAnsi="Times New Roman" w:eastAsia="Arial Unicode MS"/>
          <w:color w:val="000000"/>
          <w:sz w:val="28"/>
          <w:szCs w:val="28"/>
          <w:lang w:eastAsia="ru-RU"/>
        </w:rPr>
      </w:pPr>
      <w:r>
        <w:rPr>
          <w:rFonts w:eastAsia="Arial Unicode MS" w:ascii="Times New Roman" w:hAnsi="Times New Roman"/>
          <w:color w:val="000000"/>
          <w:sz w:val="28"/>
          <w:szCs w:val="28"/>
          <w:lang w:eastAsia="ru-RU"/>
        </w:rPr>
      </w:r>
    </w:p>
    <w:p>
      <w:pPr>
        <w:pStyle w:val="Normal"/>
        <w:jc w:val="center"/>
        <w:rPr>
          <w:rFonts w:ascii="Times New Roman" w:hAnsi="Times New Roman"/>
          <w:sz w:val="28"/>
          <w:szCs w:val="28"/>
        </w:rPr>
      </w:pPr>
      <w:r>
        <w:rPr>
          <w:rFonts w:ascii="Times New Roman" w:hAnsi="Times New Roman"/>
          <w:sz w:val="28"/>
          <w:szCs w:val="28"/>
        </w:rPr>
      </w:r>
    </w:p>
    <w:p>
      <w:pPr>
        <w:pStyle w:val="Normal"/>
        <w:jc w:val="center"/>
        <w:rPr>
          <w:rFonts w:ascii="Times New Roman" w:hAnsi="Times New Roman"/>
          <w:sz w:val="28"/>
          <w:szCs w:val="28"/>
        </w:rPr>
      </w:pPr>
      <w:r>
        <w:rPr>
          <w:rFonts w:ascii="Times New Roman" w:hAnsi="Times New Roman"/>
          <w:sz w:val="28"/>
          <w:szCs w:val="28"/>
        </w:rPr>
      </w:r>
    </w:p>
    <w:p>
      <w:pPr>
        <w:pStyle w:val="Normal"/>
        <w:jc w:val="center"/>
        <w:rPr>
          <w:rFonts w:ascii="Times New Roman" w:hAnsi="Times New Roman"/>
          <w:b/>
          <w:sz w:val="28"/>
          <w:szCs w:val="28"/>
        </w:rPr>
      </w:pPr>
      <w:r>
        <w:rPr>
          <w:rFonts w:ascii="Times New Roman" w:hAnsi="Times New Roman"/>
          <w:b/>
          <w:sz w:val="28"/>
          <w:szCs w:val="28"/>
        </w:rPr>
        <w:t>ОТЧЕТ</w:t>
      </w:r>
    </w:p>
    <w:p>
      <w:pPr>
        <w:pStyle w:val="Normal"/>
        <w:spacing w:lineRule="auto" w:line="240"/>
        <w:jc w:val="center"/>
        <w:rPr/>
      </w:pPr>
      <w:r>
        <w:rPr>
          <w:rFonts w:ascii="Times New Roman" w:hAnsi="Times New Roman"/>
          <w:sz w:val="28"/>
          <w:szCs w:val="28"/>
        </w:rPr>
        <w:t>по преддипломной практике</w:t>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ind w:hanging="0" w:start="330"/>
        <w:rPr>
          <w:rFonts w:ascii="Times New Roman" w:hAnsi="Times New Roman"/>
          <w:color w:val="000000"/>
          <w:sz w:val="28"/>
          <w:szCs w:val="28"/>
          <w:lang w:eastAsia="ru-RU"/>
        </w:rPr>
      </w:pPr>
      <w:r>
        <w:rPr>
          <w:rFonts w:ascii="Times New Roman" w:hAnsi="Times New Roman"/>
          <w:color w:val="000000"/>
          <w:sz w:val="28"/>
          <w:szCs w:val="28"/>
          <w:lang w:eastAsia="ru-RU"/>
        </w:rPr>
        <w:t>на материалах Молодежного студенческого конструкторского бюро «Электронные технологии» ФГБОУ ВО «Орловский государственный университет имени И.С.Тургенева»</w:t>
      </w:r>
    </w:p>
    <w:p>
      <w:pPr>
        <w:pStyle w:val="Normal"/>
        <w:spacing w:lineRule="auto" w:line="240"/>
        <w:ind w:hanging="0" w:start="330"/>
        <w:rPr>
          <w:highlight w:val="yellow"/>
        </w:rPr>
      </w:pPr>
      <w:r>
        <w:rPr>
          <w:highlight w:val="yellow"/>
        </w:rPr>
      </w:r>
    </w:p>
    <w:p>
      <w:pPr>
        <w:pStyle w:val="Normal"/>
        <w:spacing w:lineRule="auto" w:line="240"/>
        <w:ind w:hanging="0" w:start="330"/>
        <w:rPr/>
      </w:pPr>
      <w:r>
        <w:rPr>
          <w:rFonts w:ascii="Times New Roman" w:hAnsi="Times New Roman"/>
          <w:sz w:val="28"/>
          <w:szCs w:val="28"/>
        </w:rPr>
        <w:t>Студент Остапов В.Р.</w:t>
      </w:r>
    </w:p>
    <w:p>
      <w:pPr>
        <w:pStyle w:val="Normal"/>
        <w:spacing w:lineRule="auto" w:line="240"/>
        <w:ind w:hanging="0" w:start="330"/>
        <w:rPr>
          <w:rFonts w:ascii="Times New Roman" w:hAnsi="Times New Roman"/>
          <w:sz w:val="28"/>
          <w:szCs w:val="28"/>
        </w:rPr>
      </w:pPr>
      <w:r>
        <w:rPr>
          <w:rFonts w:ascii="Times New Roman" w:hAnsi="Times New Roman"/>
          <w:sz w:val="28"/>
          <w:szCs w:val="28"/>
        </w:rPr>
      </w:r>
    </w:p>
    <w:p>
      <w:pPr>
        <w:pStyle w:val="Normal"/>
        <w:spacing w:lineRule="auto" w:line="240"/>
        <w:ind w:hanging="0" w:start="330"/>
        <w:rPr>
          <w:rFonts w:ascii="Times New Roman" w:hAnsi="Times New Roman"/>
          <w:sz w:val="28"/>
          <w:szCs w:val="28"/>
        </w:rPr>
      </w:pPr>
      <w:r>
        <w:rPr>
          <w:rFonts w:ascii="Times New Roman" w:hAnsi="Times New Roman"/>
          <w:sz w:val="28"/>
          <w:szCs w:val="28"/>
        </w:rPr>
      </w:r>
    </w:p>
    <w:p>
      <w:pPr>
        <w:pStyle w:val="Normal"/>
        <w:spacing w:lineRule="auto" w:line="240"/>
        <w:ind w:hanging="0" w:start="330"/>
        <w:rPr>
          <w:rFonts w:ascii="Times New Roman" w:hAnsi="Times New Roman"/>
          <w:sz w:val="28"/>
          <w:szCs w:val="28"/>
        </w:rPr>
      </w:pPr>
      <w:r>
        <w:rPr>
          <w:rFonts w:ascii="Times New Roman" w:hAnsi="Times New Roman"/>
          <w:sz w:val="28"/>
          <w:szCs w:val="28"/>
        </w:rPr>
        <w:t>Группа 41КЭ-М</w:t>
      </w:r>
    </w:p>
    <w:p>
      <w:pPr>
        <w:pStyle w:val="Normal"/>
        <w:spacing w:lineRule="auto" w:line="240"/>
        <w:ind w:hanging="0" w:start="330"/>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r>
    </w:p>
    <w:p>
      <w:pPr>
        <w:pStyle w:val="Normal"/>
        <w:spacing w:lineRule="auto" w:line="240"/>
        <w:ind w:hanging="0" w:start="330"/>
        <w:rPr>
          <w:rFonts w:ascii="Times New Roman" w:hAnsi="Times New Roman"/>
          <w:sz w:val="28"/>
          <w:szCs w:val="28"/>
        </w:rPr>
      </w:pPr>
      <w:r>
        <w:rPr>
          <w:rFonts w:eastAsia="Arial Unicode MS" w:cs="Arial Unicode MS" w:ascii="Times New Roman" w:hAnsi="Times New Roman"/>
          <w:color w:val="000000"/>
          <w:sz w:val="28"/>
          <w:szCs w:val="28"/>
          <w:lang w:eastAsia="ru-RU"/>
        </w:rPr>
        <w:t>Институт приборостроения, автоматизации и информационных технологий</w:t>
      </w:r>
    </w:p>
    <w:p>
      <w:pPr>
        <w:pStyle w:val="Normal"/>
        <w:spacing w:lineRule="auto" w:line="240"/>
        <w:ind w:hanging="0" w:start="330"/>
        <w:jc w:val="start"/>
        <w:rPr>
          <w:rFonts w:ascii="Times New Roman" w:hAnsi="Times New Roman"/>
          <w:sz w:val="28"/>
          <w:szCs w:val="28"/>
        </w:rPr>
      </w:pPr>
      <w:r>
        <w:rPr>
          <w:rFonts w:ascii="Times New Roman" w:hAnsi="Times New Roman"/>
          <w:sz w:val="28"/>
          <w:szCs w:val="28"/>
        </w:rPr>
      </w:r>
    </w:p>
    <w:p>
      <w:pPr>
        <w:pStyle w:val="Normal"/>
        <w:spacing w:lineRule="auto" w:line="240"/>
        <w:ind w:hanging="0" w:start="330"/>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Направление 11.04.03 Конструирование и технология электронных средств</w:t>
      </w:r>
    </w:p>
    <w:p>
      <w:pPr>
        <w:pStyle w:val="Normal"/>
        <w:spacing w:lineRule="auto" w:line="240"/>
        <w:ind w:hanging="0" w:start="330"/>
        <w:jc w:val="center"/>
        <w:rPr>
          <w:rFonts w:ascii="Times New Roman" w:hAnsi="Times New Roman" w:eastAsia="Arial Unicode MS"/>
          <w:color w:val="000000"/>
          <w:sz w:val="24"/>
          <w:szCs w:val="24"/>
          <w:lang w:eastAsia="ru-RU"/>
        </w:rPr>
      </w:pPr>
      <w:r>
        <w:rPr>
          <w:rFonts w:eastAsia="Arial Unicode MS" w:ascii="Times New Roman" w:hAnsi="Times New Roman"/>
          <w:color w:val="000000"/>
          <w:sz w:val="24"/>
          <w:szCs w:val="24"/>
          <w:lang w:eastAsia="ru-RU"/>
        </w:rPr>
      </w:r>
    </w:p>
    <w:p>
      <w:pPr>
        <w:pStyle w:val="Normal"/>
        <w:spacing w:lineRule="auto" w:line="240"/>
        <w:ind w:hanging="0" w:start="330"/>
        <w:rPr>
          <w:rFonts w:ascii="Times New Roman" w:hAnsi="Times New Roman"/>
          <w:sz w:val="28"/>
          <w:szCs w:val="28"/>
        </w:rPr>
      </w:pPr>
      <w:r>
        <w:rPr>
          <w:rFonts w:ascii="Times New Roman" w:hAnsi="Times New Roman"/>
          <w:sz w:val="28"/>
          <w:szCs w:val="28"/>
        </w:rPr>
      </w:r>
    </w:p>
    <w:p>
      <w:pPr>
        <w:pStyle w:val="Normal"/>
        <w:spacing w:lineRule="auto" w:line="240"/>
        <w:ind w:hanging="0" w:start="330"/>
        <w:rPr/>
      </w:pPr>
      <w:r>
        <w:rPr>
          <w:rFonts w:ascii="Times New Roman" w:hAnsi="Times New Roman"/>
          <w:sz w:val="28"/>
          <w:szCs w:val="28"/>
        </w:rPr>
        <w:t xml:space="preserve">Руководитель практики от университета </w:t>
        <w:tab/>
        <w:tab/>
        <w:tab/>
        <w:t>Донцов В.М.</w:t>
      </w:r>
    </w:p>
    <w:p>
      <w:pPr>
        <w:pStyle w:val="Normal"/>
        <w:spacing w:lineRule="auto" w:line="240"/>
        <w:ind w:hanging="0" w:start="330"/>
        <w:rPr>
          <w:rFonts w:ascii="Times New Roman" w:hAnsi="Times New Roman"/>
          <w:sz w:val="28"/>
          <w:szCs w:val="28"/>
        </w:rPr>
      </w:pPr>
      <w:r>
        <w:rPr>
          <w:rFonts w:ascii="Times New Roman" w:hAnsi="Times New Roman"/>
          <w:sz w:val="28"/>
          <w:szCs w:val="28"/>
        </w:rPr>
      </w:r>
    </w:p>
    <w:p>
      <w:pPr>
        <w:pStyle w:val="Normal"/>
        <w:spacing w:lineRule="auto" w:line="240"/>
        <w:ind w:hanging="0" w:start="330"/>
        <w:rPr/>
      </w:pPr>
      <w:r>
        <w:rPr>
          <w:rFonts w:ascii="Times New Roman" w:hAnsi="Times New Roman"/>
          <w:sz w:val="28"/>
          <w:szCs w:val="28"/>
        </w:rPr>
        <w:t xml:space="preserve">Руководитель практики </w:t>
        <w:tab/>
        <w:tab/>
        <w:tab/>
        <w:tab/>
        <w:tab/>
        <w:tab/>
        <w:t>Донцов В.М.</w:t>
      </w:r>
    </w:p>
    <w:p>
      <w:pPr>
        <w:pStyle w:val="Normal"/>
        <w:spacing w:lineRule="auto" w:line="240"/>
        <w:ind w:hanging="0" w:start="330"/>
        <w:rPr>
          <w:rFonts w:ascii="Times New Roman" w:hAnsi="Times New Roman"/>
          <w:sz w:val="28"/>
          <w:szCs w:val="28"/>
        </w:rPr>
      </w:pPr>
      <w:r>
        <w:rPr>
          <w:rFonts w:ascii="Times New Roman" w:hAnsi="Times New Roman"/>
          <w:sz w:val="28"/>
          <w:szCs w:val="28"/>
        </w:rPr>
        <w:t>от профильной организации</w:t>
      </w:r>
    </w:p>
    <w:p>
      <w:pPr>
        <w:pStyle w:val="Normal"/>
        <w:spacing w:lineRule="auto" w:line="240"/>
        <w:ind w:hanging="0" w:start="330"/>
        <w:rPr>
          <w:rFonts w:ascii="Times New Roman" w:hAnsi="Times New Roman"/>
          <w:sz w:val="28"/>
          <w:szCs w:val="28"/>
        </w:rPr>
      </w:pPr>
      <w:r>
        <w:rPr>
          <w:rFonts w:ascii="Times New Roman" w:hAnsi="Times New Roman"/>
          <w:sz w:val="28"/>
          <w:szCs w:val="28"/>
        </w:rPr>
      </w:r>
    </w:p>
    <w:p>
      <w:pPr>
        <w:pStyle w:val="Normal"/>
        <w:spacing w:lineRule="auto" w:line="240"/>
        <w:ind w:hanging="0" w:start="330"/>
        <w:rPr/>
      </w:pPr>
      <w:r>
        <w:rPr>
          <w:rFonts w:ascii="Times New Roman" w:hAnsi="Times New Roman"/>
          <w:sz w:val="28"/>
          <w:szCs w:val="28"/>
        </w:rPr>
        <w:t>Оценка защиты</w:t>
        <w:tab/>
        <w:tab/>
        <w:t xml:space="preserve">      </w:t>
        <w:tab/>
        <w:tab/>
        <w:tab/>
        <w:tab/>
        <w:tab/>
        <w:t>_______________</w:t>
      </w:r>
    </w:p>
    <w:p>
      <w:pPr>
        <w:pStyle w:val="Normal"/>
        <w:rPr>
          <w:rFonts w:ascii="Times New Roman" w:hAnsi="Times New Roman"/>
          <w:sz w:val="24"/>
          <w:szCs w:val="24"/>
        </w:rPr>
      </w:pPr>
      <w:r>
        <w:rPr>
          <w:rFonts w:ascii="Times New Roman" w:hAnsi="Times New Roman"/>
          <w:sz w:val="24"/>
          <w:szCs w:val="24"/>
        </w:rPr>
      </w:r>
    </w:p>
    <w:p>
      <w:pPr>
        <w:pStyle w:val="Normal"/>
        <w:jc w:val="center"/>
        <w:rPr>
          <w:rFonts w:ascii="Times New Roman" w:hAnsi="Times New Roman"/>
          <w:sz w:val="28"/>
          <w:szCs w:val="28"/>
        </w:rPr>
      </w:pPr>
      <w:r>
        <w:rPr>
          <w:rFonts w:ascii="Times New Roman" w:hAnsi="Times New Roman"/>
          <w:sz w:val="28"/>
          <w:szCs w:val="28"/>
        </w:rPr>
      </w:r>
    </w:p>
    <w:p>
      <w:pPr>
        <w:pStyle w:val="Normal"/>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t>Орел,  2026</w:t>
      </w:r>
      <w:r>
        <w:br w:type="page"/>
      </w:r>
    </w:p>
    <w:p>
      <w:pPr>
        <w:pStyle w:val="Normal"/>
        <w:spacing w:lineRule="auto" w:line="240" w:before="0" w:after="0"/>
        <w:ind w:hanging="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 xml:space="preserve">Федеральное государственное бюджетное образовательное учреждение </w:t>
        <w:br/>
        <w:t>высшего образования</w:t>
      </w:r>
    </w:p>
    <w:p>
      <w:pPr>
        <w:pStyle w:val="Normal"/>
        <w:widowControl w:val="false"/>
        <w:tabs>
          <w:tab w:val="clear" w:pos="708"/>
          <w:tab w:val="left" w:pos="2425" w:leader="none"/>
        </w:tabs>
        <w:spacing w:lineRule="auto" w:line="240"/>
        <w:jc w:val="center"/>
        <w:rPr/>
      </w:pPr>
      <w:r>
        <mc:AlternateContent>
          <mc:Choice Requires="wps">
            <w:drawing>
              <wp:anchor behindDoc="0" distT="5080" distB="5080" distL="5080" distR="5080" simplePos="0" locked="0" layoutInCell="1" allowOverlap="1" relativeHeight="83">
                <wp:simplePos x="0" y="0"/>
                <wp:positionH relativeFrom="column">
                  <wp:posOffset>2696845</wp:posOffset>
                </wp:positionH>
                <wp:positionV relativeFrom="paragraph">
                  <wp:posOffset>-1044575</wp:posOffset>
                </wp:positionV>
                <wp:extent cx="1089660" cy="394970"/>
                <wp:effectExtent l="5080" t="5080" r="5080" b="5080"/>
                <wp:wrapNone/>
                <wp:docPr id="1" name="Прямоугольник 40"/>
                <a:graphic xmlns:a="http://schemas.openxmlformats.org/drawingml/2006/main">
                  <a:graphicData uri="http://schemas.microsoft.com/office/word/2010/wordprocessingShape">
                    <wps:wsp>
                      <wps:cNvSpPr/>
                      <wps:spPr>
                        <a:xfrm>
                          <a:off x="0" y="0"/>
                          <a:ext cx="1089720" cy="394920"/>
                        </a:xfrm>
                        <a:prstGeom prst="rect">
                          <a:avLst/>
                        </a:prstGeom>
                        <a:solidFill>
                          <a:srgbClr val="ffffff"/>
                        </a:solidFill>
                        <a:ln w="9360">
                          <a:solidFill>
                            <a:srgbClr val="ffffff"/>
                          </a:solidFill>
                          <a:round/>
                        </a:ln>
                      </wps:spPr>
                      <wps:style>
                        <a:lnRef idx="0"/>
                        <a:fillRef idx="0"/>
                        <a:effectRef idx="0"/>
                        <a:fontRef idx="minor"/>
                      </wps:style>
                      <wps:bodyPr/>
                    </wps:wsp>
                  </a:graphicData>
                </a:graphic>
              </wp:anchor>
            </w:drawing>
          </mc:Choice>
          <mc:Fallback>
            <w:pict>
              <v:rect id="shape_0" ID="Прямоугольник 40" path="m0,0l-2147483645,0l-2147483645,-2147483646l0,-2147483646xe" fillcolor="white" stroked="t" o:allowincell="f" style="position:absolute;margin-left:212.35pt;margin-top:-82.25pt;width:85.75pt;height:31.05pt;mso-wrap-style:none;v-text-anchor:middle">
                <v:fill o:detectmouseclick="t" type="solid" color2="black"/>
                <v:stroke color="white" weight="9360" joinstyle="round" endcap="flat"/>
                <w10:wrap type="none"/>
              </v:rect>
            </w:pict>
          </mc:Fallback>
        </mc:AlternateContent>
      </w:r>
      <w:r>
        <w:rPr>
          <w:rFonts w:eastAsia="Arial Unicode MS" w:cs="Arial Unicode MS" w:ascii="Times New Roman" w:hAnsi="Times New Roman"/>
          <w:color w:val="000000"/>
          <w:sz w:val="28"/>
          <w:szCs w:val="28"/>
          <w:lang w:eastAsia="ru-RU"/>
        </w:rPr>
        <w:t xml:space="preserve">«ОРЛОВСКИЙ ГОСУДАРСТВЕННЫЙ УНИВЕРСИТЕТ </w:t>
        <w:br/>
        <w:t>имени И.С. ТУРГЕНЕВА»</w:t>
      </w:r>
    </w:p>
    <w:p>
      <w:pPr>
        <w:pStyle w:val="Normal"/>
        <w:widowControl w:val="false"/>
        <w:tabs>
          <w:tab w:val="clear" w:pos="708"/>
          <w:tab w:val="left" w:pos="2425" w:leader="none"/>
        </w:tabs>
        <w:spacing w:lineRule="auto" w:line="24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r>
    </w:p>
    <w:p>
      <w:pPr>
        <w:pStyle w:val="Normal"/>
        <w:widowControl w:val="false"/>
        <w:tabs>
          <w:tab w:val="clear" w:pos="708"/>
          <w:tab w:val="left" w:pos="2425" w:leader="none"/>
        </w:tabs>
        <w:spacing w:lineRule="auto" w:line="240"/>
        <w:ind w:hanging="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Институт приборостроения, автоматизации и информационных технологий</w:t>
      </w:r>
    </w:p>
    <w:p>
      <w:pPr>
        <w:pStyle w:val="Normal"/>
        <w:widowControl w:val="false"/>
        <w:spacing w:lineRule="auto" w:line="240"/>
        <w:ind w:firstLine="709" w:end="45"/>
        <w:rPr>
          <w:rFonts w:ascii="Times New Roman" w:hAnsi="Times New Roman" w:eastAsia="Arial Unicode MS"/>
          <w:color w:val="000000"/>
          <w:sz w:val="28"/>
          <w:szCs w:val="28"/>
          <w:lang w:eastAsia="ru-RU"/>
        </w:rPr>
      </w:pPr>
      <w:r>
        <w:rPr>
          <w:rFonts w:eastAsia="Arial Unicode MS" w:ascii="Times New Roman" w:hAnsi="Times New Roman"/>
          <w:color w:val="000000"/>
          <w:sz w:val="28"/>
          <w:szCs w:val="28"/>
          <w:lang w:eastAsia="ru-RU"/>
        </w:rPr>
      </w:r>
    </w:p>
    <w:p>
      <w:pPr>
        <w:pStyle w:val="Normal"/>
        <w:widowControl w:val="false"/>
        <w:spacing w:lineRule="auto" w:line="240"/>
        <w:ind w:firstLine="709" w:end="45"/>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Кафедра электроники, радиотехники и систем связи</w:t>
      </w:r>
    </w:p>
    <w:p>
      <w:pPr>
        <w:pStyle w:val="Normal"/>
        <w:widowControl w:val="false"/>
        <w:spacing w:lineRule="auto" w:line="240"/>
        <w:ind w:firstLine="709" w:end="45"/>
        <w:rPr>
          <w:rFonts w:ascii="Times New Roman" w:hAnsi="Times New Roman" w:eastAsia="Arial Unicode MS"/>
          <w:color w:val="000000"/>
          <w:sz w:val="28"/>
          <w:szCs w:val="28"/>
          <w:lang w:eastAsia="ru-RU"/>
        </w:rPr>
      </w:pPr>
      <w:r>
        <w:rPr>
          <w:rFonts w:eastAsia="Arial Unicode MS" w:ascii="Times New Roman" w:hAnsi="Times New Roman"/>
          <w:color w:val="000000"/>
          <w:sz w:val="28"/>
          <w:szCs w:val="28"/>
          <w:lang w:eastAsia="ru-RU"/>
        </w:rPr>
      </w:r>
    </w:p>
    <w:p>
      <w:pPr>
        <w:pStyle w:val="Normal"/>
        <w:widowControl w:val="false"/>
        <w:spacing w:lineRule="auto" w:line="240"/>
        <w:ind w:hanging="0" w:end="45"/>
        <w:rPr>
          <w:rFonts w:ascii="Times New Roman" w:hAnsi="Times New Roman"/>
          <w:sz w:val="28"/>
          <w:szCs w:val="28"/>
        </w:rPr>
      </w:pPr>
      <w:r>
        <w:rPr>
          <w:rFonts w:ascii="Times New Roman" w:hAnsi="Times New Roman"/>
          <w:sz w:val="28"/>
          <w:szCs w:val="28"/>
        </w:rPr>
        <w:t>Направление подготовки 11.04.03 Конструирование и технология электронных средств</w:t>
      </w:r>
    </w:p>
    <w:p>
      <w:pPr>
        <w:pStyle w:val="Normal"/>
        <w:widowControl w:val="false"/>
        <w:spacing w:lineRule="auto" w:line="240"/>
        <w:ind w:firstLine="709" w:end="45"/>
        <w:jc w:val="center"/>
        <w:rPr>
          <w:rFonts w:ascii="Times New Roman" w:hAnsi="Times New Roman"/>
          <w:b/>
          <w:sz w:val="28"/>
          <w:szCs w:val="28"/>
        </w:rPr>
      </w:pPr>
      <w:r>
        <w:rPr>
          <w:rFonts w:ascii="Times New Roman" w:hAnsi="Times New Roman"/>
          <w:b/>
          <w:sz w:val="28"/>
          <w:szCs w:val="28"/>
        </w:rPr>
      </w:r>
    </w:p>
    <w:p>
      <w:pPr>
        <w:pStyle w:val="Normal"/>
        <w:widowControl w:val="false"/>
        <w:spacing w:lineRule="auto" w:line="240"/>
        <w:ind w:firstLine="709" w:end="45"/>
        <w:jc w:val="center"/>
        <w:rPr>
          <w:rFonts w:ascii="Times New Roman" w:hAnsi="Times New Roman"/>
          <w:b/>
          <w:sz w:val="28"/>
          <w:szCs w:val="28"/>
        </w:rPr>
      </w:pPr>
      <w:r>
        <w:rPr>
          <w:rFonts w:ascii="Times New Roman" w:hAnsi="Times New Roman"/>
          <w:b/>
          <w:sz w:val="28"/>
          <w:szCs w:val="28"/>
        </w:rPr>
        <w:t>ИНДИВИДУАЛЬНОЕ ЗАДАНИЕ</w:t>
      </w:r>
    </w:p>
    <w:p>
      <w:pPr>
        <w:pStyle w:val="Normal"/>
        <w:spacing w:lineRule="auto" w:line="240"/>
        <w:jc w:val="center"/>
        <w:rPr/>
      </w:pPr>
      <w:r>
        <w:rPr>
          <w:rFonts w:ascii="Times New Roman" w:hAnsi="Times New Roman"/>
          <w:b/>
          <w:sz w:val="28"/>
          <w:szCs w:val="28"/>
        </w:rPr>
        <w:t>на преддипломную практику</w:t>
      </w:r>
    </w:p>
    <w:p>
      <w:pPr>
        <w:pStyle w:val="Normal"/>
        <w:spacing w:lineRule="auto" w:line="240"/>
        <w:jc w:val="center"/>
        <w:rPr>
          <w:rFonts w:ascii="Times New Roman" w:hAnsi="Times New Roman"/>
          <w:b/>
          <w:sz w:val="28"/>
          <w:szCs w:val="28"/>
        </w:rPr>
      </w:pPr>
      <w:r>
        <w:rPr>
          <w:rFonts w:ascii="Times New Roman" w:hAnsi="Times New Roman"/>
          <w:b/>
          <w:sz w:val="28"/>
          <w:szCs w:val="28"/>
        </w:rPr>
      </w:r>
    </w:p>
    <w:p>
      <w:pPr>
        <w:pStyle w:val="Normal"/>
        <w:spacing w:lineRule="auto" w:line="240"/>
        <w:rPr>
          <w:rFonts w:ascii="Times New Roman" w:hAnsi="Times New Roman"/>
          <w:color w:val="000000"/>
          <w:sz w:val="28"/>
          <w:szCs w:val="28"/>
          <w:lang w:eastAsia="ru-RU"/>
        </w:rPr>
      </w:pPr>
      <w:r>
        <w:rPr>
          <w:rFonts w:ascii="Times New Roman" w:hAnsi="Times New Roman"/>
          <w:color w:val="000000"/>
          <w:sz w:val="28"/>
          <w:szCs w:val="28"/>
          <w:lang w:eastAsia="ru-RU"/>
        </w:rPr>
      </w:r>
    </w:p>
    <w:p>
      <w:pPr>
        <w:pStyle w:val="Normal"/>
        <w:spacing w:lineRule="auto" w:line="240"/>
        <w:ind w:hanging="0"/>
        <w:jc w:val="start"/>
        <w:rPr/>
      </w:pPr>
      <w:r>
        <w:rPr>
          <w:rFonts w:ascii="Times New Roman" w:hAnsi="Times New Roman"/>
          <w:sz w:val="28"/>
          <w:szCs w:val="28"/>
        </w:rPr>
        <w:t>для обучающегося   Остапова Владислава Руслановича</w:t>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ind w:hanging="0"/>
        <w:rPr>
          <w:rFonts w:ascii="Times New Roman" w:hAnsi="Times New Roman"/>
          <w:sz w:val="28"/>
          <w:szCs w:val="28"/>
        </w:rPr>
      </w:pPr>
      <w:r>
        <w:rPr>
          <w:rFonts w:ascii="Times New Roman" w:hAnsi="Times New Roman"/>
          <w:sz w:val="28"/>
          <w:szCs w:val="28"/>
        </w:rPr>
        <w:t>2 курса  очной формы обучения группы 41КЭ-М</w:t>
      </w:r>
    </w:p>
    <w:p>
      <w:pPr>
        <w:pStyle w:val="Normal"/>
        <w:spacing w:lineRule="auto" w:line="240"/>
        <w:rPr>
          <w:rFonts w:ascii="Times New Roman" w:hAnsi="Times New Roman"/>
          <w:sz w:val="28"/>
          <w:szCs w:val="28"/>
        </w:rPr>
      </w:pPr>
      <w:r>
        <w:rPr>
          <w:rFonts w:ascii="Times New Roman" w:hAnsi="Times New Roman"/>
          <w:sz w:val="28"/>
          <w:szCs w:val="28"/>
        </w:rPr>
      </w:r>
    </w:p>
    <w:p>
      <w:pPr>
        <w:pStyle w:val="Normal"/>
        <w:spacing w:lineRule="auto" w:line="240"/>
        <w:ind w:hanging="0"/>
        <w:rPr/>
      </w:pPr>
      <w:r>
        <w:rPr>
          <w:rFonts w:ascii="Times New Roman" w:hAnsi="Times New Roman"/>
          <w:color w:val="000000"/>
          <w:sz w:val="28"/>
          <w:szCs w:val="28"/>
          <w:lang w:eastAsia="ru-RU"/>
        </w:rPr>
        <w:t>Место прохождения: Молодежное студенческое конструкторское бюро «Электронные технологии» ФГБОУ ВО «Орловский государственный университет имени И.С.Тургенева»</w:t>
      </w:r>
    </w:p>
    <w:p>
      <w:pPr>
        <w:pStyle w:val="Normal"/>
        <w:spacing w:lineRule="auto" w:line="240"/>
        <w:ind w:hanging="0"/>
        <w:rPr>
          <w:rFonts w:ascii="Times New Roman" w:hAnsi="Times New Roman"/>
          <w:color w:val="000000"/>
          <w:sz w:val="28"/>
          <w:szCs w:val="28"/>
          <w:lang w:eastAsia="ru-RU"/>
        </w:rPr>
      </w:pPr>
      <w:r>
        <w:rPr>
          <w:rFonts w:ascii="Times New Roman" w:hAnsi="Times New Roman"/>
          <w:color w:val="000000"/>
          <w:sz w:val="28"/>
          <w:szCs w:val="28"/>
          <w:lang w:eastAsia="ru-RU"/>
        </w:rPr>
      </w:r>
    </w:p>
    <w:p>
      <w:pPr>
        <w:pStyle w:val="Normal"/>
        <w:spacing w:lineRule="auto" w:line="240"/>
        <w:ind w:hanging="0"/>
        <w:rPr/>
      </w:pPr>
      <w:r>
        <w:rPr>
          <w:rFonts w:ascii="Times New Roman" w:hAnsi="Times New Roman"/>
          <w:color w:val="000000"/>
          <w:sz w:val="28"/>
          <w:szCs w:val="28"/>
          <w:lang w:eastAsia="ru-RU"/>
        </w:rPr>
        <w:t xml:space="preserve">Срок прохождения практики </w:t>
      </w:r>
      <w:r>
        <w:rPr>
          <w:rFonts w:ascii="Times New Roman" w:hAnsi="Times New Roman"/>
          <w:bCs/>
          <w:color w:val="000000"/>
          <w:sz w:val="28"/>
          <w:szCs w:val="28"/>
          <w:lang w:eastAsia="ru-RU"/>
        </w:rPr>
        <w:t>с 08 апреля 2026 г. по 21 мая 2026 г.</w:t>
      </w:r>
    </w:p>
    <w:p>
      <w:pPr>
        <w:pStyle w:val="Normal"/>
        <w:spacing w:lineRule="auto" w:line="240"/>
        <w:ind w:hanging="0"/>
        <w:rPr>
          <w:rFonts w:ascii="Times New Roman" w:hAnsi="Times New Roman"/>
          <w:bCs/>
          <w:color w:val="000000"/>
          <w:sz w:val="28"/>
          <w:szCs w:val="28"/>
          <w:lang w:eastAsia="ru-RU"/>
        </w:rPr>
      </w:pPr>
      <w:r>
        <w:rPr>
          <w:rFonts w:ascii="Times New Roman" w:hAnsi="Times New Roman"/>
          <w:bCs/>
          <w:color w:val="000000"/>
          <w:sz w:val="28"/>
          <w:szCs w:val="28"/>
          <w:lang w:eastAsia="ru-RU"/>
        </w:rPr>
      </w:r>
    </w:p>
    <w:p>
      <w:pPr>
        <w:pStyle w:val="Style15"/>
        <w:tabs>
          <w:tab w:val="clear" w:pos="708"/>
          <w:tab w:val="left" w:pos="709" w:leader="none"/>
        </w:tabs>
        <w:spacing w:before="0" w:after="0"/>
        <w:jc w:val="both"/>
        <w:textAlignment w:val="baseline"/>
        <w:rPr>
          <w:color w:val="000000"/>
          <w:sz w:val="28"/>
          <w:szCs w:val="28"/>
          <w:lang w:eastAsia="ru-RU"/>
        </w:rPr>
      </w:pPr>
      <w:r>
        <w:rPr>
          <w:color w:val="000000"/>
          <w:sz w:val="28"/>
          <w:szCs w:val="28"/>
          <w:lang w:eastAsia="ru-RU"/>
        </w:rPr>
      </w:r>
    </w:p>
    <w:p>
      <w:pPr>
        <w:pStyle w:val="Style15"/>
        <w:tabs>
          <w:tab w:val="clear" w:pos="708"/>
          <w:tab w:val="left" w:pos="709" w:leader="none"/>
        </w:tabs>
        <w:spacing w:before="0" w:after="0"/>
        <w:jc w:val="both"/>
        <w:textAlignment w:val="baseline"/>
        <w:rPr>
          <w:b/>
          <w:sz w:val="28"/>
          <w:szCs w:val="28"/>
        </w:rPr>
      </w:pPr>
      <w:r>
        <w:rPr>
          <w:b/>
          <w:sz w:val="28"/>
          <w:szCs w:val="28"/>
        </w:rPr>
        <w:t xml:space="preserve">Содержание практики (вопросы, подлежащие изучению): </w:t>
      </w:r>
    </w:p>
    <w:p>
      <w:pPr>
        <w:pStyle w:val="Normal"/>
        <w:spacing w:lineRule="auto" w:line="240"/>
        <w:ind w:hanging="0"/>
        <w:rPr>
          <w:highlight w:val="none"/>
          <w:shd w:fill="auto" w:val="clear"/>
        </w:rPr>
      </w:pPr>
      <w:r>
        <w:rPr>
          <w:rFonts w:ascii="Times New Roman" w:hAnsi="Times New Roman"/>
          <w:color w:val="000000"/>
          <w:sz w:val="28"/>
          <w:szCs w:val="28"/>
          <w:shd w:fill="auto" w:val="clear"/>
          <w:lang w:eastAsia="ru-RU"/>
        </w:rPr>
        <w:t xml:space="preserve">– </w:t>
      </w:r>
      <w:r>
        <w:rPr>
          <w:rFonts w:ascii="Times New Roman" w:hAnsi="Times New Roman"/>
          <w:color w:val="000000"/>
          <w:sz w:val="28"/>
          <w:szCs w:val="28"/>
          <w:shd w:fill="auto" w:val="clear"/>
          <w:lang w:eastAsia="ru-RU"/>
        </w:rPr>
        <w:t xml:space="preserve">анализ состояния проблемы, </w:t>
      </w:r>
    </w:p>
    <w:p>
      <w:pPr>
        <w:pStyle w:val="Normal"/>
        <w:spacing w:lineRule="auto" w:line="240"/>
        <w:ind w:hanging="0"/>
        <w:rPr>
          <w:highlight w:val="none"/>
          <w:shd w:fill="auto" w:val="clear"/>
        </w:rPr>
      </w:pPr>
      <w:r>
        <w:rPr>
          <w:rFonts w:ascii="Times New Roman" w:hAnsi="Times New Roman"/>
          <w:color w:val="000000"/>
          <w:sz w:val="28"/>
          <w:szCs w:val="28"/>
          <w:shd w:fill="auto" w:val="clear"/>
          <w:lang w:eastAsia="ru-RU"/>
        </w:rPr>
        <w:t xml:space="preserve">– </w:t>
      </w:r>
      <w:r>
        <w:rPr>
          <w:rFonts w:ascii="Times New Roman" w:hAnsi="Times New Roman"/>
          <w:color w:val="000000"/>
          <w:sz w:val="28"/>
          <w:szCs w:val="28"/>
          <w:shd w:fill="auto" w:val="clear"/>
          <w:lang w:eastAsia="ru-RU"/>
        </w:rPr>
        <w:t xml:space="preserve">предлагаемые способы решения проблемы, </w:t>
      </w:r>
    </w:p>
    <w:p>
      <w:pPr>
        <w:pStyle w:val="Normal"/>
        <w:spacing w:lineRule="auto" w:line="240"/>
        <w:ind w:hanging="0"/>
        <w:rPr>
          <w:highlight w:val="none"/>
          <w:shd w:fill="auto" w:val="clear"/>
        </w:rPr>
      </w:pPr>
      <w:r>
        <w:rPr>
          <w:rFonts w:ascii="Times New Roman" w:hAnsi="Times New Roman"/>
          <w:color w:val="000000"/>
          <w:sz w:val="28"/>
          <w:szCs w:val="28"/>
          <w:shd w:fill="auto" w:val="clear"/>
          <w:lang w:eastAsia="ru-RU"/>
        </w:rPr>
        <w:t xml:space="preserve">– </w:t>
      </w:r>
      <w:r>
        <w:rPr>
          <w:rFonts w:ascii="Times New Roman" w:hAnsi="Times New Roman"/>
          <w:color w:val="000000"/>
          <w:sz w:val="28"/>
          <w:szCs w:val="28"/>
          <w:shd w:fill="auto" w:val="clear"/>
          <w:lang w:eastAsia="ru-RU"/>
        </w:rPr>
        <w:t xml:space="preserve">проверка и подтверждение результатов исследования </w:t>
      </w:r>
    </w:p>
    <w:p>
      <w:pPr>
        <w:pStyle w:val="Style15"/>
        <w:tabs>
          <w:tab w:val="clear" w:pos="708"/>
          <w:tab w:val="left" w:pos="1134" w:leader="none"/>
        </w:tabs>
        <w:spacing w:before="0" w:after="0"/>
        <w:jc w:val="both"/>
        <w:textAlignment w:val="baseline"/>
        <w:rPr>
          <w:color w:val="000000"/>
          <w:sz w:val="28"/>
          <w:szCs w:val="28"/>
          <w:lang w:eastAsia="ru-RU"/>
        </w:rPr>
      </w:pPr>
      <w:r>
        <w:rPr>
          <w:color w:val="000000"/>
          <w:sz w:val="28"/>
          <w:szCs w:val="28"/>
          <w:lang w:eastAsia="ru-RU"/>
        </w:rPr>
      </w:r>
    </w:p>
    <w:p>
      <w:pPr>
        <w:pStyle w:val="Style15"/>
        <w:tabs>
          <w:tab w:val="clear" w:pos="708"/>
          <w:tab w:val="left" w:pos="1134" w:leader="none"/>
        </w:tabs>
        <w:spacing w:before="0" w:after="0"/>
        <w:jc w:val="both"/>
        <w:textAlignment w:val="baseline"/>
        <w:rPr>
          <w:b/>
          <w:sz w:val="28"/>
          <w:szCs w:val="28"/>
        </w:rPr>
      </w:pPr>
      <w:r>
        <w:rPr>
          <w:b/>
          <w:sz w:val="28"/>
          <w:szCs w:val="28"/>
        </w:rPr>
        <w:t>Планируемые результаты практики:</w:t>
      </w:r>
    </w:p>
    <w:p>
      <w:pPr>
        <w:pStyle w:val="ListParagraph1"/>
        <w:widowControl w:val="false"/>
        <w:tabs>
          <w:tab w:val="clear" w:pos="708"/>
          <w:tab w:val="left" w:pos="284" w:leader="none"/>
        </w:tabs>
        <w:spacing w:lineRule="auto" w:line="240" w:before="0" w:after="0"/>
        <w:ind w:hanging="0" w:start="0"/>
        <w:jc w:val="both"/>
        <w:rPr/>
      </w:pPr>
      <w:r>
        <w:rPr>
          <w:rFonts w:ascii="Times New Roman" w:hAnsi="Times New Roman"/>
          <w:sz w:val="28"/>
          <w:szCs w:val="28"/>
        </w:rPr>
        <w:t>–</w:t>
      </w:r>
      <w:r>
        <w:rPr>
          <w:rFonts w:eastAsia="Times New Roman" w:ascii="Times New Roman" w:hAnsi="Times New Roman"/>
          <w:sz w:val="28"/>
          <w:szCs w:val="28"/>
        </w:rPr>
        <w:t xml:space="preserve"> </w:t>
      </w:r>
      <w:r>
        <w:rPr>
          <w:rFonts w:ascii="Times New Roman" w:hAnsi="Times New Roman"/>
          <w:sz w:val="28"/>
          <w:szCs w:val="28"/>
        </w:rPr>
        <w:t>отчет по практике.</w:t>
      </w:r>
    </w:p>
    <w:p>
      <w:pPr>
        <w:pStyle w:val="ListParagraph1"/>
        <w:widowControl w:val="false"/>
        <w:tabs>
          <w:tab w:val="clear" w:pos="708"/>
          <w:tab w:val="left" w:pos="284" w:leader="none"/>
        </w:tabs>
        <w:spacing w:lineRule="auto" w:line="240" w:before="0" w:after="0"/>
        <w:ind w:hanging="0" w:start="0"/>
        <w:jc w:val="both"/>
        <w:rPr>
          <w:rFonts w:ascii="Times New Roman" w:hAnsi="Times New Roman"/>
          <w:sz w:val="28"/>
          <w:szCs w:val="28"/>
        </w:rPr>
      </w:pPr>
      <w:r>
        <w:rPr>
          <w:rFonts w:ascii="Times New Roman" w:hAnsi="Times New Roman"/>
          <w:sz w:val="28"/>
          <w:szCs w:val="28"/>
        </w:rPr>
      </w:r>
    </w:p>
    <w:p>
      <w:pPr>
        <w:pStyle w:val="ListParagraph1"/>
        <w:tabs>
          <w:tab w:val="clear" w:pos="708"/>
          <w:tab w:val="left" w:pos="8910" w:leader="none"/>
        </w:tabs>
        <w:spacing w:lineRule="auto" w:line="240" w:before="0" w:after="0"/>
        <w:ind w:hanging="0" w:start="0"/>
        <w:jc w:val="both"/>
        <w:rPr/>
      </w:pPr>
      <w:r>
        <w:rPr>
          <w:rFonts w:ascii="Times New Roman" w:hAnsi="Times New Roman"/>
          <w:sz w:val="28"/>
          <w:szCs w:val="28"/>
        </w:rPr>
        <w:t>Руководитель практики от университета                   _________ Донцов В.М.</w:t>
      </w:r>
    </w:p>
    <w:p>
      <w:pPr>
        <w:pStyle w:val="ListParagraph1"/>
        <w:tabs>
          <w:tab w:val="clear" w:pos="708"/>
          <w:tab w:val="left" w:pos="8910" w:leader="none"/>
        </w:tabs>
        <w:spacing w:lineRule="auto" w:line="240" w:before="0" w:after="0"/>
        <w:ind w:hanging="0" w:start="0"/>
        <w:jc w:val="both"/>
        <w:rPr>
          <w:rFonts w:ascii="Times New Roman" w:hAnsi="Times New Roman"/>
          <w:sz w:val="28"/>
          <w:szCs w:val="28"/>
          <w:lang w:eastAsia="ru-RU"/>
        </w:rPr>
      </w:pPr>
      <w:r>
        <w:rPr>
          <w:rFonts w:ascii="Times New Roman" w:hAnsi="Times New Roman"/>
          <w:sz w:val="28"/>
          <w:szCs w:val="28"/>
          <w:lang w:eastAsia="ru-RU"/>
        </w:rPr>
      </w:r>
    </w:p>
    <w:p>
      <w:pPr>
        <w:pStyle w:val="ListParagraph1"/>
        <w:tabs>
          <w:tab w:val="clear" w:pos="708"/>
          <w:tab w:val="left" w:pos="8910" w:leader="none"/>
        </w:tabs>
        <w:spacing w:lineRule="auto" w:line="240" w:before="0" w:after="0"/>
        <w:ind w:hanging="0" w:start="0"/>
        <w:jc w:val="both"/>
        <w:rPr>
          <w:rFonts w:ascii="Times New Roman" w:hAnsi="Times New Roman"/>
          <w:sz w:val="28"/>
          <w:szCs w:val="28"/>
          <w:lang w:eastAsia="ru-RU"/>
        </w:rPr>
      </w:pPr>
      <w:r>
        <w:rPr>
          <w:rFonts w:ascii="Times New Roman" w:hAnsi="Times New Roman"/>
          <w:sz w:val="28"/>
          <w:szCs w:val="28"/>
          <w:lang w:eastAsia="ru-RU"/>
        </w:rPr>
        <w:t>Согласовано:</w:t>
      </w:r>
    </w:p>
    <w:p>
      <w:pPr>
        <w:pStyle w:val="ListParagraph1"/>
        <w:tabs>
          <w:tab w:val="clear" w:pos="708"/>
          <w:tab w:val="left" w:pos="8910" w:leader="none"/>
        </w:tabs>
        <w:spacing w:lineRule="auto" w:line="240" w:before="0" w:after="0"/>
        <w:ind w:hanging="0" w:start="0"/>
        <w:jc w:val="both"/>
        <w:rPr>
          <w:rFonts w:ascii="Times New Roman" w:hAnsi="Times New Roman"/>
          <w:sz w:val="28"/>
          <w:szCs w:val="28"/>
          <w:lang w:eastAsia="ru-RU"/>
        </w:rPr>
      </w:pPr>
      <w:r>
        <w:rPr>
          <w:rFonts w:ascii="Times New Roman" w:hAnsi="Times New Roman"/>
          <w:sz w:val="28"/>
          <w:szCs w:val="28"/>
          <w:lang w:eastAsia="ru-RU"/>
        </w:rPr>
      </w:r>
    </w:p>
    <w:p>
      <w:pPr>
        <w:pStyle w:val="ListParagraph1"/>
        <w:tabs>
          <w:tab w:val="clear" w:pos="708"/>
          <w:tab w:val="left" w:pos="8910" w:leader="none"/>
        </w:tabs>
        <w:spacing w:lineRule="auto" w:line="240" w:before="0" w:after="0"/>
        <w:ind w:hanging="0" w:start="0"/>
        <w:jc w:val="both"/>
        <w:rPr/>
      </w:pPr>
      <w:r>
        <w:rPr>
          <w:rFonts w:ascii="Times New Roman" w:hAnsi="Times New Roman"/>
          <w:sz w:val="28"/>
          <w:szCs w:val="28"/>
        </w:rPr>
        <w:t>Руководитель практики от профильной организации _______ Донцов В.М.</w:t>
      </w:r>
    </w:p>
    <w:p>
      <w:pPr>
        <w:pStyle w:val="ListParagraph1"/>
        <w:tabs>
          <w:tab w:val="clear" w:pos="708"/>
          <w:tab w:val="left" w:pos="8910" w:leader="none"/>
        </w:tabs>
        <w:spacing w:lineRule="auto" w:line="240" w:before="0" w:after="0"/>
        <w:ind w:hanging="0" w:start="0"/>
        <w:jc w:val="both"/>
        <w:rPr>
          <w:rFonts w:ascii="Times New Roman" w:hAnsi="Times New Roman"/>
          <w:sz w:val="28"/>
          <w:szCs w:val="28"/>
          <w:lang w:eastAsia="ru-RU"/>
        </w:rPr>
      </w:pPr>
      <w:r>
        <w:rPr>
          <w:rFonts w:ascii="Times New Roman" w:hAnsi="Times New Roman"/>
          <w:sz w:val="28"/>
          <w:szCs w:val="28"/>
          <w:lang w:eastAsia="ru-RU"/>
        </w:rPr>
      </w:r>
    </w:p>
    <w:p>
      <w:pPr>
        <w:pStyle w:val="ListParagraph1"/>
        <w:tabs>
          <w:tab w:val="clear" w:pos="708"/>
          <w:tab w:val="left" w:pos="8910" w:leader="none"/>
        </w:tabs>
        <w:spacing w:lineRule="auto" w:line="240" w:before="0" w:after="0"/>
        <w:ind w:hanging="0" w:start="0"/>
        <w:jc w:val="both"/>
        <w:rPr/>
      </w:pPr>
      <w:r>
        <w:rPr>
          <w:rFonts w:ascii="Times New Roman" w:hAnsi="Times New Roman"/>
          <w:sz w:val="28"/>
          <w:szCs w:val="28"/>
          <w:lang w:eastAsia="ru-RU"/>
        </w:rPr>
        <w:t xml:space="preserve">Задание принял: ___________  Остапов В.Р.        </w:t>
      </w:r>
      <w:r>
        <w:rPr>
          <w:rFonts w:ascii="Times New Roman" w:hAnsi="Times New Roman"/>
          <w:color w:val="000000"/>
          <w:sz w:val="28"/>
          <w:szCs w:val="28"/>
          <w:lang w:eastAsia="ru-RU"/>
        </w:rPr>
        <w:t>«</w:t>
      </w:r>
      <w:r>
        <w:rPr>
          <w:rFonts w:ascii="Times New Roman" w:hAnsi="Times New Roman"/>
          <w:color w:val="000000"/>
          <w:sz w:val="28"/>
          <w:szCs w:val="28"/>
          <w:u w:val="single"/>
          <w:lang w:eastAsia="ru-RU"/>
        </w:rPr>
        <w:t xml:space="preserve"> 08</w:t>
      </w:r>
      <w:r>
        <w:rPr>
          <w:rFonts w:ascii="Times New Roman" w:hAnsi="Times New Roman"/>
          <w:color w:val="000000"/>
          <w:sz w:val="28"/>
          <w:szCs w:val="28"/>
          <w:lang w:eastAsia="ru-RU"/>
        </w:rPr>
        <w:t xml:space="preserve"> »</w:t>
      </w:r>
      <w:r>
        <w:rPr>
          <w:rFonts w:ascii="Times New Roman" w:hAnsi="Times New Roman"/>
          <w:color w:val="000000"/>
          <w:sz w:val="28"/>
          <w:szCs w:val="28"/>
          <w:u w:val="single"/>
          <w:lang w:eastAsia="ru-RU"/>
        </w:rPr>
        <w:t xml:space="preserve">   апреля   </w:t>
      </w:r>
      <w:r>
        <w:rPr>
          <w:rFonts w:ascii="Times New Roman" w:hAnsi="Times New Roman"/>
          <w:color w:val="000000"/>
          <w:sz w:val="28"/>
          <w:szCs w:val="28"/>
          <w:lang w:eastAsia="ru-RU"/>
        </w:rPr>
        <w:t>2026 г.</w:t>
      </w:r>
      <w:r>
        <w:br w:type="page"/>
      </w:r>
    </w:p>
    <w:p>
      <w:pPr>
        <w:pStyle w:val="Normal"/>
        <w:tabs>
          <w:tab w:val="clear" w:pos="708"/>
          <w:tab w:val="left" w:pos="8910" w:leader="none"/>
        </w:tabs>
        <w:spacing w:lineRule="auto" w:line="240" w:before="0" w:after="0"/>
        <w:ind w:hanging="0" w:start="0"/>
        <w:jc w:val="both"/>
        <w:rPr/>
      </w:pPr>
      <w:r>
        <w:rPr/>
      </w:r>
    </w:p>
    <w:p>
      <w:pPr>
        <w:pStyle w:val="Normal"/>
        <w:widowControl w:val="false"/>
        <w:jc w:val="center"/>
        <w:rPr>
          <w:rFonts w:ascii="Times New Roman" w:hAnsi="Times New Roman"/>
          <w:b/>
          <w:sz w:val="24"/>
          <w:szCs w:val="24"/>
        </w:rPr>
      </w:pPr>
      <w:r>
        <w:rPr>
          <w:rFonts w:ascii="Times New Roman" w:hAnsi="Times New Roman"/>
          <w:b/>
          <w:sz w:val="24"/>
          <w:szCs w:val="24"/>
        </w:rPr>
        <w:t>СОВМЕСТНЫЙ РАБОЧИЙ ГРАФИК (ПЛАН)</w:t>
      </w:r>
    </w:p>
    <w:p>
      <w:pPr>
        <w:pStyle w:val="Normal"/>
        <w:spacing w:lineRule="auto" w:line="240"/>
        <w:jc w:val="center"/>
        <w:rPr/>
      </w:pPr>
      <w:r>
        <w:rPr>
          <w:rFonts w:ascii="Times New Roman" w:hAnsi="Times New Roman"/>
          <w:b/>
          <w:sz w:val="24"/>
          <w:szCs w:val="24"/>
        </w:rPr>
        <w:t>проведения преддипломной практики</w:t>
      </w:r>
    </w:p>
    <w:p>
      <w:pPr>
        <w:pStyle w:val="Normal"/>
        <w:spacing w:lineRule="auto" w:line="240"/>
        <w:jc w:val="center"/>
        <w:rPr>
          <w:rFonts w:ascii="Times New Roman" w:hAnsi="Times New Roman"/>
          <w:b/>
          <w:i/>
          <w:i/>
          <w:sz w:val="24"/>
          <w:szCs w:val="24"/>
        </w:rPr>
      </w:pPr>
      <w:r>
        <w:rPr>
          <w:rFonts w:ascii="Times New Roman" w:hAnsi="Times New Roman"/>
          <w:b/>
          <w:i/>
          <w:sz w:val="24"/>
          <w:szCs w:val="24"/>
        </w:rPr>
      </w:r>
    </w:p>
    <w:p>
      <w:pPr>
        <w:pStyle w:val="Normal"/>
        <w:spacing w:before="0" w:after="120"/>
        <w:ind w:hanging="0"/>
        <w:rPr/>
      </w:pPr>
      <w:r>
        <w:rPr>
          <w:rFonts w:ascii="Times New Roman" w:hAnsi="Times New Roman"/>
          <w:sz w:val="26"/>
          <w:szCs w:val="26"/>
        </w:rPr>
        <w:t xml:space="preserve">Обучающегося 2 курса  очной формы обучения, группы 41КЭ-М </w:t>
      </w:r>
    </w:p>
    <w:p>
      <w:pPr>
        <w:pStyle w:val="Normal"/>
        <w:spacing w:before="0" w:after="120"/>
        <w:ind w:hanging="0"/>
        <w:rPr>
          <w:rFonts w:ascii="Times New Roman" w:hAnsi="Times New Roman"/>
          <w:sz w:val="26"/>
          <w:szCs w:val="26"/>
        </w:rPr>
      </w:pPr>
      <w:r>
        <w:rPr>
          <w:rFonts w:ascii="Times New Roman" w:hAnsi="Times New Roman"/>
          <w:sz w:val="26"/>
          <w:szCs w:val="26"/>
        </w:rPr>
        <w:t>Направление подготовки 11.04.03 Конструирование и технология электронных средств</w:t>
      </w:r>
    </w:p>
    <w:p>
      <w:pPr>
        <w:pStyle w:val="Normal"/>
        <w:spacing w:before="0" w:after="120"/>
        <w:ind w:hanging="0"/>
        <w:rPr/>
      </w:pPr>
      <w:r>
        <w:rPr>
          <w:rFonts w:ascii="Times New Roman" w:hAnsi="Times New Roman"/>
          <w:sz w:val="26"/>
          <w:szCs w:val="26"/>
        </w:rPr>
        <w:t>Место прохождения:  Молодежное студенческое конструкторское бюро «Электронные технологии» ФГБОУ ВО «Орловский государственный университет имени И.С.Тургенева»</w:t>
      </w:r>
    </w:p>
    <w:p>
      <w:pPr>
        <w:pStyle w:val="Normal"/>
        <w:ind w:hanging="0"/>
        <w:rPr>
          <w:rFonts w:ascii="Times New Roman" w:hAnsi="Times New Roman"/>
          <w:bCs/>
          <w:color w:val="000000"/>
          <w:sz w:val="26"/>
          <w:szCs w:val="26"/>
          <w:lang w:eastAsia="ru-RU"/>
        </w:rPr>
      </w:pPr>
      <w:r>
        <w:rPr>
          <w:rFonts w:ascii="Times New Roman" w:hAnsi="Times New Roman"/>
          <w:color w:val="000000"/>
          <w:sz w:val="26"/>
          <w:szCs w:val="26"/>
          <w:lang w:eastAsia="ru-RU"/>
        </w:rPr>
        <w:t xml:space="preserve">Срок прохождения практики с </w:t>
      </w:r>
      <w:r>
        <w:rPr>
          <w:rFonts w:ascii="Times New Roman" w:hAnsi="Times New Roman"/>
          <w:bCs/>
          <w:color w:val="000000"/>
          <w:sz w:val="26"/>
          <w:szCs w:val="26"/>
          <w:lang w:eastAsia="ru-RU"/>
        </w:rPr>
        <w:t>08 апреля  2026 г. по 21 мая 2026 г.</w:t>
      </w:r>
    </w:p>
    <w:p>
      <w:pPr>
        <w:pStyle w:val="Normal"/>
        <w:spacing w:before="0" w:after="120"/>
        <w:ind w:hanging="0"/>
        <w:rPr>
          <w:rFonts w:ascii="Times New Roman" w:hAnsi="Times New Roman"/>
          <w:bCs/>
          <w:color w:val="000000"/>
          <w:sz w:val="26"/>
          <w:szCs w:val="26"/>
          <w:lang w:eastAsia="ru-RU"/>
        </w:rPr>
      </w:pPr>
      <w:r>
        <w:rPr>
          <w:rFonts w:ascii="Times New Roman" w:hAnsi="Times New Roman"/>
          <w:bCs/>
          <w:color w:val="000000"/>
          <w:sz w:val="26"/>
          <w:szCs w:val="26"/>
          <w:lang w:eastAsia="ru-RU"/>
        </w:rPr>
      </w:r>
    </w:p>
    <w:tbl>
      <w:tblPr>
        <w:tblW w:w="9571" w:type="dxa"/>
        <w:jc w:val="start"/>
        <w:tblInd w:w="0" w:type="dxa"/>
        <w:tblLayout w:type="fixed"/>
        <w:tblCellMar>
          <w:top w:w="0" w:type="dxa"/>
          <w:start w:w="108" w:type="dxa"/>
          <w:bottom w:w="0" w:type="dxa"/>
          <w:end w:w="108" w:type="dxa"/>
        </w:tblCellMar>
        <w:tblLook w:val="0000" w:noHBand="0" w:noVBand="0" w:firstColumn="0" w:lastRow="0" w:lastColumn="0" w:firstRow="0"/>
      </w:tblPr>
      <w:tblGrid>
        <w:gridCol w:w="578"/>
        <w:gridCol w:w="1876"/>
        <w:gridCol w:w="2593"/>
        <w:gridCol w:w="1601"/>
        <w:gridCol w:w="1653"/>
        <w:gridCol w:w="1269"/>
      </w:tblGrid>
      <w:tr>
        <w:trPr>
          <w:tblHeader w:val="true"/>
        </w:trPr>
        <w:tc>
          <w:tcPr>
            <w:tcW w:w="57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0"/>
                <w:szCs w:val="24"/>
              </w:rPr>
            </w:pPr>
            <w:r>
              <w:rPr>
                <w:rFonts w:ascii="Times New Roman" w:hAnsi="Times New Roman"/>
                <w:sz w:val="20"/>
                <w:szCs w:val="24"/>
              </w:rPr>
              <w:t xml:space="preserve">№ </w:t>
            </w:r>
            <w:r>
              <w:rPr>
                <w:rFonts w:ascii="Times New Roman" w:hAnsi="Times New Roman"/>
                <w:sz w:val="20"/>
                <w:szCs w:val="24"/>
              </w:rPr>
              <w:t>п/п</w:t>
            </w:r>
          </w:p>
        </w:tc>
        <w:tc>
          <w:tcPr>
            <w:tcW w:w="18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0"/>
                <w:szCs w:val="24"/>
              </w:rPr>
            </w:pPr>
            <w:r>
              <w:rPr>
                <w:rFonts w:ascii="Times New Roman" w:hAnsi="Times New Roman"/>
                <w:sz w:val="20"/>
                <w:szCs w:val="24"/>
              </w:rPr>
              <w:t>Наименование этапа проведения практики</w:t>
            </w:r>
          </w:p>
        </w:tc>
        <w:tc>
          <w:tcPr>
            <w:tcW w:w="259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0"/>
                <w:szCs w:val="24"/>
              </w:rPr>
            </w:pPr>
            <w:r>
              <w:rPr>
                <w:rFonts w:ascii="Times New Roman" w:hAnsi="Times New Roman"/>
                <w:sz w:val="20"/>
                <w:szCs w:val="24"/>
              </w:rPr>
              <w:t>Вид работ</w:t>
            </w:r>
          </w:p>
        </w:tc>
        <w:tc>
          <w:tcPr>
            <w:tcW w:w="16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0"/>
                <w:szCs w:val="24"/>
              </w:rPr>
            </w:pPr>
            <w:r>
              <w:rPr>
                <w:rFonts w:ascii="Times New Roman" w:hAnsi="Times New Roman"/>
                <w:sz w:val="20"/>
                <w:szCs w:val="24"/>
              </w:rPr>
              <w:t>Срок прохождения этапа практики</w:t>
            </w:r>
          </w:p>
        </w:tc>
        <w:tc>
          <w:tcPr>
            <w:tcW w:w="165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0"/>
                <w:szCs w:val="24"/>
              </w:rPr>
            </w:pPr>
            <w:r>
              <w:rPr>
                <w:rFonts w:ascii="Times New Roman" w:hAnsi="Times New Roman"/>
                <w:sz w:val="20"/>
                <w:szCs w:val="24"/>
              </w:rPr>
              <w:t>Форма отчетности</w:t>
            </w:r>
          </w:p>
        </w:tc>
        <w:tc>
          <w:tcPr>
            <w:tcW w:w="126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0"/>
                <w:szCs w:val="24"/>
              </w:rPr>
            </w:pPr>
            <w:r>
              <w:rPr>
                <w:rFonts w:ascii="Times New Roman" w:hAnsi="Times New Roman"/>
                <w:sz w:val="20"/>
                <w:szCs w:val="24"/>
              </w:rPr>
              <w:t>Отметка о выполнении</w:t>
            </w:r>
          </w:p>
        </w:tc>
      </w:tr>
      <w:tr>
        <w:trPr/>
        <w:tc>
          <w:tcPr>
            <w:tcW w:w="578"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rFonts w:ascii="Times New Roman" w:hAnsi="Times New Roman"/>
                <w:sz w:val="20"/>
                <w:szCs w:val="20"/>
                <w:lang w:eastAsia="ru-RU"/>
              </w:rPr>
            </w:pPr>
            <w:r>
              <w:rPr>
                <w:rFonts w:ascii="Times New Roman" w:hAnsi="Times New Roman"/>
                <w:sz w:val="20"/>
                <w:szCs w:val="20"/>
                <w:lang w:eastAsia="ru-RU"/>
              </w:rPr>
              <w:t>1</w:t>
            </w:r>
          </w:p>
        </w:tc>
        <w:tc>
          <w:tcPr>
            <w:tcW w:w="187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0"/>
                <w:szCs w:val="20"/>
              </w:rPr>
            </w:pPr>
            <w:r>
              <w:rPr>
                <w:rFonts w:ascii="Times New Roman" w:hAnsi="Times New Roman"/>
                <w:sz w:val="20"/>
                <w:szCs w:val="20"/>
              </w:rPr>
              <w:t>Подготовительный (организационный) этап</w:t>
            </w:r>
          </w:p>
        </w:tc>
        <w:tc>
          <w:tcPr>
            <w:tcW w:w="259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start"/>
              <w:rPr>
                <w:rFonts w:ascii="Times New Roman" w:hAnsi="Times New Roman"/>
                <w:sz w:val="20"/>
                <w:szCs w:val="20"/>
              </w:rPr>
            </w:pPr>
            <w:r>
              <w:rPr>
                <w:rFonts w:ascii="Times New Roman" w:hAnsi="Times New Roman"/>
                <w:sz w:val="20"/>
                <w:szCs w:val="20"/>
              </w:rPr>
              <w:t>1.Организационное собрание для разъяснения целей, задач, содержания и порядка прохождения практики.</w:t>
            </w:r>
          </w:p>
          <w:p>
            <w:pPr>
              <w:pStyle w:val="Normal"/>
              <w:spacing w:lineRule="auto" w:line="240"/>
              <w:ind w:hanging="0"/>
              <w:jc w:val="start"/>
              <w:rPr>
                <w:rFonts w:ascii="Times New Roman" w:hAnsi="Times New Roman"/>
                <w:sz w:val="20"/>
                <w:szCs w:val="20"/>
              </w:rPr>
            </w:pPr>
            <w:r>
              <w:rPr>
                <w:rFonts w:ascii="Times New Roman" w:hAnsi="Times New Roman"/>
                <w:sz w:val="20"/>
                <w:szCs w:val="20"/>
              </w:rPr>
              <w:t>2. Инструктаж по технике безопасности.</w:t>
            </w:r>
          </w:p>
          <w:p>
            <w:pPr>
              <w:pStyle w:val="Normal"/>
              <w:spacing w:lineRule="auto" w:line="240"/>
              <w:ind w:hanging="0"/>
              <w:jc w:val="start"/>
              <w:rPr>
                <w:rFonts w:ascii="Times New Roman" w:hAnsi="Times New Roman"/>
                <w:sz w:val="20"/>
                <w:szCs w:val="20"/>
              </w:rPr>
            </w:pPr>
            <w:r>
              <w:rPr>
                <w:rFonts w:ascii="Times New Roman" w:hAnsi="Times New Roman"/>
                <w:sz w:val="20"/>
                <w:szCs w:val="20"/>
              </w:rPr>
              <w:t>3. Выдача индивидуального задания.</w:t>
            </w:r>
          </w:p>
        </w:tc>
        <w:tc>
          <w:tcPr>
            <w:tcW w:w="1601"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pPr>
            <w:r>
              <w:rPr>
                <w:rFonts w:ascii="Times New Roman" w:hAnsi="Times New Roman"/>
                <w:sz w:val="20"/>
                <w:szCs w:val="20"/>
              </w:rPr>
              <w:t>08 апреля</w:t>
            </w:r>
          </w:p>
          <w:p>
            <w:pPr>
              <w:pStyle w:val="Normal"/>
              <w:spacing w:lineRule="auto" w:line="240"/>
              <w:ind w:hanging="0"/>
              <w:jc w:val="center"/>
              <w:rPr/>
            </w:pPr>
            <w:r>
              <w:rPr>
                <w:rFonts w:ascii="Times New Roman" w:hAnsi="Times New Roman"/>
                <w:sz w:val="20"/>
                <w:szCs w:val="20"/>
              </w:rPr>
              <w:t xml:space="preserve"> </w:t>
            </w:r>
            <w:r>
              <w:rPr>
                <w:rFonts w:ascii="Times New Roman" w:hAnsi="Times New Roman"/>
                <w:sz w:val="20"/>
                <w:szCs w:val="20"/>
              </w:rPr>
              <w:t>2026 г.</w:t>
            </w:r>
          </w:p>
        </w:tc>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rFonts w:ascii="Times New Roman" w:hAnsi="Times New Roman"/>
                <w:sz w:val="20"/>
                <w:szCs w:val="20"/>
              </w:rPr>
            </w:pPr>
            <w:r>
              <w:rPr>
                <w:rFonts w:ascii="Times New Roman" w:hAnsi="Times New Roman"/>
                <w:sz w:val="20"/>
                <w:szCs w:val="20"/>
              </w:rPr>
              <w:t>Индивидуальное задание</w:t>
            </w:r>
          </w:p>
        </w:tc>
        <w:tc>
          <w:tcPr>
            <w:tcW w:w="126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0"/>
                <w:szCs w:val="20"/>
              </w:rPr>
            </w:pPr>
            <w:r>
              <w:rPr>
                <w:rFonts w:ascii="Times New Roman" w:hAnsi="Times New Roman"/>
                <w:sz w:val="20"/>
                <w:szCs w:val="20"/>
              </w:rPr>
            </w:r>
          </w:p>
        </w:tc>
      </w:tr>
      <w:tr>
        <w:trPr/>
        <w:tc>
          <w:tcPr>
            <w:tcW w:w="578"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rFonts w:ascii="Times New Roman" w:hAnsi="Times New Roman"/>
                <w:sz w:val="20"/>
                <w:szCs w:val="20"/>
                <w:lang w:eastAsia="ru-RU"/>
              </w:rPr>
            </w:pPr>
            <w:r>
              <w:rPr>
                <w:rFonts w:ascii="Times New Roman" w:hAnsi="Times New Roman"/>
                <w:sz w:val="20"/>
                <w:szCs w:val="20"/>
                <w:lang w:eastAsia="ru-RU"/>
              </w:rPr>
              <w:t>2</w:t>
            </w:r>
          </w:p>
        </w:tc>
        <w:tc>
          <w:tcPr>
            <w:tcW w:w="187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0"/>
                <w:szCs w:val="20"/>
              </w:rPr>
            </w:pPr>
            <w:r>
              <w:rPr>
                <w:rFonts w:ascii="Times New Roman" w:hAnsi="Times New Roman"/>
                <w:sz w:val="20"/>
                <w:szCs w:val="20"/>
              </w:rPr>
              <w:t>Основной этап</w:t>
            </w:r>
          </w:p>
        </w:tc>
        <w:tc>
          <w:tcPr>
            <w:tcW w:w="259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start"/>
              <w:rPr/>
            </w:pPr>
            <w:r>
              <w:rPr>
                <w:rFonts w:ascii="Times New Roman" w:hAnsi="Times New Roman"/>
                <w:sz w:val="20"/>
                <w:szCs w:val="20"/>
              </w:rPr>
              <w:t>1. Сбор информации и материалов практики.</w:t>
            </w:r>
          </w:p>
          <w:p>
            <w:pPr>
              <w:pStyle w:val="Normal"/>
              <w:spacing w:lineRule="auto" w:line="240"/>
              <w:ind w:hanging="0"/>
              <w:jc w:val="start"/>
              <w:rPr/>
            </w:pPr>
            <w:r>
              <w:rPr>
                <w:rFonts w:ascii="Times New Roman" w:hAnsi="Times New Roman"/>
                <w:sz w:val="20"/>
                <w:szCs w:val="20"/>
              </w:rPr>
              <w:t>2. Выполнение программы практики, индивидуального задания на практику.</w:t>
            </w:r>
          </w:p>
          <w:p>
            <w:pPr>
              <w:pStyle w:val="Normal"/>
              <w:spacing w:lineRule="auto" w:line="240"/>
              <w:ind w:hanging="0"/>
              <w:jc w:val="start"/>
              <w:rPr/>
            </w:pPr>
            <w:r>
              <w:rPr>
                <w:rFonts w:ascii="Times New Roman" w:hAnsi="Times New Roman"/>
                <w:sz w:val="20"/>
                <w:szCs w:val="20"/>
              </w:rPr>
              <w:t>3.Обработка, систематизация и анализ фактического и теоретического материала.</w:t>
            </w:r>
          </w:p>
        </w:tc>
        <w:tc>
          <w:tcPr>
            <w:tcW w:w="1601"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pPr>
            <w:r>
              <w:rPr>
                <w:rFonts w:ascii="Times New Roman" w:hAnsi="Times New Roman"/>
                <w:sz w:val="20"/>
                <w:szCs w:val="20"/>
              </w:rPr>
              <w:t>09 апреля</w:t>
            </w:r>
          </w:p>
          <w:p>
            <w:pPr>
              <w:pStyle w:val="Normal"/>
              <w:spacing w:lineRule="auto" w:line="240"/>
              <w:ind w:hanging="0"/>
              <w:jc w:val="center"/>
              <w:rPr/>
            </w:pPr>
            <w:r>
              <w:rPr>
                <w:rFonts w:ascii="Times New Roman" w:hAnsi="Times New Roman"/>
                <w:sz w:val="20"/>
                <w:szCs w:val="20"/>
              </w:rPr>
              <w:t xml:space="preserve"> </w:t>
            </w:r>
            <w:r>
              <w:rPr>
                <w:rFonts w:ascii="Times New Roman" w:hAnsi="Times New Roman"/>
                <w:sz w:val="20"/>
                <w:szCs w:val="20"/>
              </w:rPr>
              <w:t>2026 г. –</w:t>
            </w:r>
          </w:p>
          <w:p>
            <w:pPr>
              <w:pStyle w:val="Normal"/>
              <w:spacing w:lineRule="auto" w:line="240"/>
              <w:ind w:hanging="0"/>
              <w:jc w:val="center"/>
              <w:rPr/>
            </w:pPr>
            <w:r>
              <w:rPr>
                <w:rFonts w:ascii="Times New Roman" w:hAnsi="Times New Roman"/>
                <w:sz w:val="20"/>
                <w:szCs w:val="20"/>
                <w:lang w:val="en-US"/>
              </w:rPr>
              <w:t>19</w:t>
            </w:r>
            <w:r>
              <w:rPr>
                <w:rFonts w:ascii="Times New Roman" w:hAnsi="Times New Roman"/>
                <w:sz w:val="20"/>
                <w:szCs w:val="20"/>
              </w:rPr>
              <w:t xml:space="preserve"> мая 2026г</w:t>
            </w:r>
          </w:p>
        </w:tc>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rFonts w:ascii="Times New Roman" w:hAnsi="Times New Roman"/>
                <w:sz w:val="20"/>
                <w:szCs w:val="20"/>
              </w:rPr>
            </w:pPr>
            <w:r>
              <w:rPr>
                <w:rFonts w:ascii="Times New Roman" w:hAnsi="Times New Roman"/>
                <w:sz w:val="20"/>
                <w:szCs w:val="20"/>
              </w:rPr>
              <w:t>Отчет по практике</w:t>
            </w:r>
          </w:p>
        </w:tc>
        <w:tc>
          <w:tcPr>
            <w:tcW w:w="126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0"/>
                <w:szCs w:val="20"/>
              </w:rPr>
            </w:pPr>
            <w:r>
              <w:rPr>
                <w:rFonts w:ascii="Times New Roman" w:hAnsi="Times New Roman"/>
                <w:sz w:val="20"/>
                <w:szCs w:val="20"/>
              </w:rPr>
            </w:r>
          </w:p>
        </w:tc>
      </w:tr>
      <w:tr>
        <w:trPr/>
        <w:tc>
          <w:tcPr>
            <w:tcW w:w="578"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rFonts w:ascii="Times New Roman" w:hAnsi="Times New Roman"/>
                <w:sz w:val="20"/>
                <w:szCs w:val="20"/>
                <w:lang w:eastAsia="ru-RU"/>
              </w:rPr>
            </w:pPr>
            <w:r>
              <w:rPr>
                <w:rFonts w:ascii="Times New Roman" w:hAnsi="Times New Roman"/>
                <w:sz w:val="20"/>
                <w:szCs w:val="20"/>
                <w:lang w:eastAsia="ru-RU"/>
              </w:rPr>
              <w:t>3</w:t>
            </w:r>
          </w:p>
        </w:tc>
        <w:tc>
          <w:tcPr>
            <w:tcW w:w="187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0"/>
                <w:szCs w:val="20"/>
              </w:rPr>
            </w:pPr>
            <w:r>
              <w:rPr>
                <w:rFonts w:ascii="Times New Roman" w:hAnsi="Times New Roman"/>
                <w:sz w:val="20"/>
                <w:szCs w:val="20"/>
              </w:rPr>
              <w:t>Заключительный этап</w:t>
            </w:r>
          </w:p>
        </w:tc>
        <w:tc>
          <w:tcPr>
            <w:tcW w:w="259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start"/>
              <w:rPr/>
            </w:pPr>
            <w:r>
              <w:rPr>
                <w:rFonts w:ascii="Times New Roman" w:hAnsi="Times New Roman"/>
                <w:sz w:val="20"/>
                <w:szCs w:val="20"/>
              </w:rPr>
              <w:t xml:space="preserve">1. Составление </w:t>
            </w:r>
            <w:r>
              <w:rPr>
                <w:rFonts w:ascii="Times New Roman" w:hAnsi="Times New Roman"/>
                <w:color w:val="000000"/>
                <w:sz w:val="20"/>
                <w:szCs w:val="20"/>
              </w:rPr>
              <w:t xml:space="preserve">отчета по </w:t>
            </w:r>
            <w:r>
              <w:rPr>
                <w:rFonts w:ascii="Times New Roman" w:hAnsi="Times New Roman"/>
                <w:sz w:val="20"/>
                <w:szCs w:val="20"/>
              </w:rPr>
              <w:t>практике.</w:t>
            </w:r>
          </w:p>
          <w:p>
            <w:pPr>
              <w:pStyle w:val="Normal"/>
              <w:spacing w:lineRule="auto" w:line="240"/>
              <w:ind w:hanging="0"/>
              <w:jc w:val="start"/>
              <w:rPr>
                <w:rFonts w:ascii="Times New Roman" w:hAnsi="Times New Roman"/>
                <w:sz w:val="20"/>
                <w:szCs w:val="20"/>
              </w:rPr>
            </w:pPr>
            <w:r>
              <w:rPr>
                <w:rFonts w:ascii="Times New Roman" w:hAnsi="Times New Roman"/>
                <w:sz w:val="20"/>
                <w:szCs w:val="20"/>
              </w:rPr>
              <w:t>2. Защита отчета по практике с представлением материалов.</w:t>
            </w:r>
          </w:p>
        </w:tc>
        <w:tc>
          <w:tcPr>
            <w:tcW w:w="1601"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pPr>
            <w:r>
              <w:rPr>
                <w:rFonts w:ascii="Times New Roman" w:hAnsi="Times New Roman"/>
                <w:sz w:val="20"/>
                <w:szCs w:val="20"/>
                <w:lang w:val="en-US"/>
              </w:rPr>
              <w:t>20</w:t>
            </w:r>
            <w:r>
              <w:rPr>
                <w:rFonts w:ascii="Times New Roman" w:hAnsi="Times New Roman"/>
                <w:sz w:val="20"/>
                <w:szCs w:val="20"/>
              </w:rPr>
              <w:t xml:space="preserve"> мая 2026г</w:t>
            </w:r>
          </w:p>
          <w:p>
            <w:pPr>
              <w:pStyle w:val="Normal"/>
              <w:spacing w:lineRule="auto" w:line="240"/>
              <w:ind w:hanging="0"/>
              <w:jc w:val="center"/>
              <w:rPr>
                <w:rFonts w:ascii="Times New Roman" w:hAnsi="Times New Roman"/>
                <w:sz w:val="20"/>
                <w:szCs w:val="20"/>
              </w:rPr>
            </w:pPr>
            <w:r>
              <w:rPr>
                <w:rFonts w:ascii="Times New Roman" w:hAnsi="Times New Roman"/>
                <w:sz w:val="20"/>
                <w:szCs w:val="20"/>
              </w:rPr>
            </w:r>
          </w:p>
          <w:p>
            <w:pPr>
              <w:pStyle w:val="Normal"/>
              <w:spacing w:lineRule="auto" w:line="240"/>
              <w:ind w:hanging="0"/>
              <w:jc w:val="center"/>
              <w:rPr/>
            </w:pPr>
            <w:r>
              <w:rPr>
                <w:rFonts w:ascii="Times New Roman" w:hAnsi="Times New Roman"/>
                <w:sz w:val="20"/>
                <w:szCs w:val="20"/>
              </w:rPr>
              <w:t>2</w:t>
            </w:r>
            <w:r>
              <w:rPr>
                <w:rFonts w:ascii="Times New Roman" w:hAnsi="Times New Roman"/>
                <w:sz w:val="20"/>
                <w:szCs w:val="20"/>
                <w:lang w:val="en-US"/>
              </w:rPr>
              <w:t>1</w:t>
            </w:r>
            <w:r>
              <w:rPr>
                <w:rFonts w:ascii="Times New Roman" w:hAnsi="Times New Roman"/>
                <w:sz w:val="20"/>
                <w:szCs w:val="20"/>
              </w:rPr>
              <w:t xml:space="preserve"> мая 2026г</w:t>
            </w:r>
          </w:p>
        </w:tc>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rFonts w:ascii="Times New Roman" w:hAnsi="Times New Roman"/>
                <w:sz w:val="20"/>
                <w:szCs w:val="20"/>
              </w:rPr>
            </w:pPr>
            <w:r>
              <w:rPr>
                <w:rFonts w:ascii="Times New Roman" w:hAnsi="Times New Roman"/>
                <w:sz w:val="20"/>
                <w:szCs w:val="20"/>
              </w:rPr>
              <w:t>Отчет по практике</w:t>
            </w:r>
          </w:p>
        </w:tc>
        <w:tc>
          <w:tcPr>
            <w:tcW w:w="126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0"/>
                <w:szCs w:val="20"/>
              </w:rPr>
            </w:pPr>
            <w:r>
              <w:rPr>
                <w:rFonts w:ascii="Times New Roman" w:hAnsi="Times New Roman"/>
                <w:sz w:val="20"/>
                <w:szCs w:val="20"/>
              </w:rPr>
            </w:r>
          </w:p>
        </w:tc>
      </w:tr>
    </w:tbl>
    <w:p>
      <w:pPr>
        <w:pStyle w:val="Normal"/>
        <w:tabs>
          <w:tab w:val="clear" w:pos="708"/>
          <w:tab w:val="left" w:pos="8910" w:leader="none"/>
        </w:tabs>
        <w:spacing w:lineRule="auto" w:line="240"/>
        <w:rPr>
          <w:rFonts w:ascii="Times New Roman" w:hAnsi="Times New Roman"/>
          <w:sz w:val="28"/>
          <w:szCs w:val="28"/>
        </w:rPr>
      </w:pPr>
      <w:r>
        <w:rPr>
          <w:rFonts w:ascii="Times New Roman" w:hAnsi="Times New Roman"/>
          <w:sz w:val="28"/>
          <w:szCs w:val="28"/>
        </w:rPr>
      </w:r>
    </w:p>
    <w:p>
      <w:pPr>
        <w:pStyle w:val="Normal"/>
        <w:tabs>
          <w:tab w:val="clear" w:pos="708"/>
          <w:tab w:val="left" w:pos="8910" w:leader="none"/>
        </w:tabs>
        <w:spacing w:lineRule="auto" w:line="240" w:before="120" w:after="120"/>
        <w:ind w:hanging="0"/>
        <w:rPr/>
      </w:pPr>
      <w:r>
        <w:rPr>
          <w:rFonts w:ascii="Times New Roman" w:hAnsi="Times New Roman"/>
          <w:sz w:val="26"/>
          <w:szCs w:val="26"/>
        </w:rPr>
        <w:t>Руководитель практики от университета                          __________ Донцов В.М.</w:t>
      </w:r>
    </w:p>
    <w:p>
      <w:pPr>
        <w:pStyle w:val="Normal"/>
        <w:tabs>
          <w:tab w:val="clear" w:pos="708"/>
          <w:tab w:val="left" w:pos="8910" w:leader="none"/>
        </w:tabs>
        <w:spacing w:lineRule="auto" w:line="240" w:before="120" w:after="120"/>
        <w:rPr>
          <w:rFonts w:ascii="Times New Roman" w:hAnsi="Times New Roman"/>
          <w:sz w:val="26"/>
          <w:szCs w:val="26"/>
        </w:rPr>
      </w:pPr>
      <w:r>
        <w:rPr>
          <w:rFonts w:ascii="Times New Roman" w:hAnsi="Times New Roman"/>
          <w:sz w:val="26"/>
          <w:szCs w:val="26"/>
        </w:rPr>
      </w:r>
    </w:p>
    <w:p>
      <w:pPr>
        <w:pStyle w:val="Normal"/>
        <w:tabs>
          <w:tab w:val="clear" w:pos="708"/>
          <w:tab w:val="left" w:pos="8910" w:leader="none"/>
        </w:tabs>
        <w:spacing w:lineRule="auto" w:line="240" w:before="120" w:after="120"/>
        <w:ind w:hanging="0"/>
        <w:rPr/>
      </w:pPr>
      <w:r>
        <w:rPr>
          <w:rFonts w:ascii="Times New Roman" w:hAnsi="Times New Roman"/>
          <w:sz w:val="26"/>
          <w:szCs w:val="26"/>
        </w:rPr>
        <w:t>Руководитель практики от профильной организации      __________ Донцов В.М.</w:t>
      </w:r>
    </w:p>
    <w:p>
      <w:pPr>
        <w:pStyle w:val="Normal"/>
        <w:tabs>
          <w:tab w:val="clear" w:pos="708"/>
          <w:tab w:val="left" w:pos="8910" w:leader="none"/>
        </w:tabs>
        <w:spacing w:lineRule="auto" w:line="240" w:before="120" w:after="120"/>
        <w:rPr>
          <w:rFonts w:ascii="Times New Roman" w:hAnsi="Times New Roman"/>
          <w:sz w:val="26"/>
          <w:szCs w:val="26"/>
        </w:rPr>
      </w:pPr>
      <w:r>
        <w:rPr>
          <w:rFonts w:ascii="Times New Roman" w:hAnsi="Times New Roman"/>
          <w:sz w:val="26"/>
          <w:szCs w:val="26"/>
        </w:rPr>
      </w:r>
    </w:p>
    <w:p>
      <w:pPr>
        <w:pStyle w:val="Normal"/>
        <w:tabs>
          <w:tab w:val="clear" w:pos="708"/>
          <w:tab w:val="left" w:pos="8910" w:leader="none"/>
        </w:tabs>
        <w:spacing w:lineRule="auto" w:line="240" w:before="120" w:after="120"/>
        <w:rPr>
          <w:rFonts w:ascii="Times New Roman" w:hAnsi="Times New Roman"/>
          <w:sz w:val="26"/>
          <w:szCs w:val="26"/>
        </w:rPr>
      </w:pPr>
      <w:r>
        <w:rPr>
          <w:rFonts w:ascii="Times New Roman" w:hAnsi="Times New Roman"/>
          <w:sz w:val="26"/>
          <w:szCs w:val="26"/>
        </w:rPr>
        <w:t>С рабочим графиком (планом) ознакомлен:</w:t>
      </w:r>
    </w:p>
    <w:p>
      <w:pPr>
        <w:pStyle w:val="Normal"/>
        <w:tabs>
          <w:tab w:val="clear" w:pos="708"/>
          <w:tab w:val="left" w:pos="8910" w:leader="none"/>
        </w:tabs>
        <w:spacing w:lineRule="auto" w:line="240"/>
        <w:rPr/>
      </w:pPr>
      <w:r>
        <w:rPr>
          <w:rFonts w:ascii="Times New Roman" w:hAnsi="Times New Roman"/>
          <w:sz w:val="26"/>
          <w:szCs w:val="26"/>
        </w:rPr>
        <w:t>Обучающийся __________________________ Остапов В.Р.</w:t>
      </w:r>
    </w:p>
    <w:p>
      <w:pPr>
        <w:pStyle w:val="Normal"/>
        <w:rPr>
          <w:rFonts w:ascii="Times New Roman" w:hAnsi="Times New Roman"/>
          <w:b/>
          <w:sz w:val="28"/>
          <w:szCs w:val="28"/>
        </w:rPr>
      </w:pPr>
      <w:r>
        <w:rPr>
          <w:rFonts w:ascii="Times New Roman" w:hAnsi="Times New Roman"/>
          <w:b/>
          <w:sz w:val="28"/>
          <w:szCs w:val="28"/>
        </w:rPr>
        <w:t>СОДЕРЖАНИЕ</w:t>
      </w:r>
    </w:p>
    <w:sdt>
      <w:sdtPr>
        <w:docPartObj>
          <w:docPartGallery w:val="Table of Contents"/>
          <w:docPartUnique w:val="true"/>
        </w:docPartObj>
      </w:sdtPr>
      <w:sdtContent>
        <w:p>
          <w:pPr>
            <w:pStyle w:val="TOC1"/>
            <w:tabs>
              <w:tab w:val="clear" w:pos="9345"/>
              <w:tab w:val="right" w:pos="9354" w:leader="dot"/>
            </w:tabs>
            <w:rPr/>
          </w:pPr>
          <w:r>
            <w:fldChar w:fldCharType="begin"/>
          </w:r>
          <w:r>
            <w:rPr>
              <w:webHidden/>
              <w:rStyle w:val="IndexLink"/>
              <w:vanish w:val="false"/>
            </w:rPr>
            <w:instrText xml:space="preserve"> TOC \z \o "1-3" \u \h</w:instrText>
          </w:r>
          <w:r>
            <w:rPr>
              <w:webHidden/>
              <w:rStyle w:val="IndexLink"/>
              <w:vanish w:val="false"/>
            </w:rPr>
            <w:fldChar w:fldCharType="separate"/>
          </w:r>
          <w:hyperlink w:anchor="__RefHeading___Toc229529021">
            <w:r>
              <w:rPr>
                <w:webHidden/>
                <w:rStyle w:val="IndexLink"/>
                <w:vanish w:val="false"/>
              </w:rPr>
              <w:t>ВВЕДЕНИЕ</w:t>
            </w:r>
            <w:r>
              <w:rPr>
                <w:rStyle w:val="IndexLink"/>
                <w:vanish w:val="false"/>
              </w:rPr>
              <w:tab/>
              <w:t>5</w:t>
            </w:r>
          </w:hyperlink>
        </w:p>
        <w:p>
          <w:pPr>
            <w:pStyle w:val="TOC1"/>
            <w:tabs>
              <w:tab w:val="clear" w:pos="9345"/>
              <w:tab w:val="right" w:pos="9354" w:leader="dot"/>
            </w:tabs>
            <w:rPr/>
          </w:pPr>
          <w:hyperlink w:anchor="__RefHeading___Toc229529022">
            <w:r>
              <w:rPr>
                <w:webHidden/>
                <w:rStyle w:val="IndexLink"/>
                <w:vanish w:val="false"/>
              </w:rPr>
              <w:t>1. АНАЛИЗ СОСТОЯНИЯ ПРОБЛЕМЫ</w:t>
              <w:tab/>
              <w:t>7</w:t>
            </w:r>
          </w:hyperlink>
        </w:p>
        <w:p>
          <w:pPr>
            <w:pStyle w:val="TOC2"/>
            <w:tabs>
              <w:tab w:val="clear" w:pos="9072"/>
              <w:tab w:val="right" w:pos="9354" w:leader="dot"/>
            </w:tabs>
            <w:rPr/>
          </w:pPr>
          <w:hyperlink w:anchor="__RefHeading___Toc2155_1929968905">
            <w:r>
              <w:rPr>
                <w:webHidden/>
                <w:rStyle w:val="IndexLink"/>
                <w:vanish w:val="false"/>
              </w:rPr>
              <w:t>1.1 Периодические сигналы: определение и значение</w:t>
              <w:tab/>
              <w:t>7</w:t>
            </w:r>
          </w:hyperlink>
        </w:p>
        <w:p>
          <w:pPr>
            <w:pStyle w:val="TOC2"/>
            <w:tabs>
              <w:tab w:val="clear" w:pos="9072"/>
              <w:tab w:val="right" w:pos="9354" w:leader="dot"/>
            </w:tabs>
            <w:rPr/>
          </w:pPr>
          <w:hyperlink w:anchor="__RefHeading___Toc2157_1929968905">
            <w:r>
              <w:rPr>
                <w:webHidden/>
                <w:rStyle w:val="IndexLink"/>
                <w:vanish w:val="false"/>
              </w:rPr>
              <w:t>1.2 Области применения и практическая значимость</w:t>
              <w:tab/>
              <w:t>9</w:t>
            </w:r>
          </w:hyperlink>
        </w:p>
        <w:p>
          <w:pPr>
            <w:pStyle w:val="TOC2"/>
            <w:tabs>
              <w:tab w:val="clear" w:pos="9072"/>
              <w:tab w:val="right" w:pos="9354" w:leader="dot"/>
            </w:tabs>
            <w:rPr/>
          </w:pPr>
          <w:hyperlink w:anchor="__RefHeading___Toc2159_1929968905">
            <w:r>
              <w:rPr>
                <w:webHidden/>
                <w:rStyle w:val="IndexLink"/>
                <w:vanish w:val="false"/>
              </w:rPr>
              <w:t>1.3 Виды помех и их влияние на измерения</w:t>
              <w:tab/>
              <w:t>10</w:t>
            </w:r>
          </w:hyperlink>
        </w:p>
        <w:p>
          <w:pPr>
            <w:pStyle w:val="TOC2"/>
            <w:tabs>
              <w:tab w:val="clear" w:pos="9072"/>
              <w:tab w:val="right" w:pos="9354" w:leader="dot"/>
            </w:tabs>
            <w:rPr/>
          </w:pPr>
          <w:hyperlink w:anchor="__RefHeading___Toc2161_1929968905">
            <w:r>
              <w:rPr>
                <w:webHidden/>
                <w:rStyle w:val="IndexLink"/>
                <w:vanish w:val="false"/>
              </w:rPr>
              <w:t>Критерии и метрики сравнения методов</w:t>
              <w:tab/>
              <w:t>12</w:t>
            </w:r>
          </w:hyperlink>
        </w:p>
        <w:p>
          <w:pPr>
            <w:pStyle w:val="TOC2"/>
            <w:tabs>
              <w:tab w:val="clear" w:pos="9072"/>
              <w:tab w:val="right" w:pos="9354" w:leader="dot"/>
            </w:tabs>
            <w:rPr/>
          </w:pPr>
          <w:hyperlink w:anchor="__RefHeading___Toc2163_1929968905">
            <w:r>
              <w:rPr>
                <w:webHidden/>
                <w:rStyle w:val="IndexLink"/>
                <w:vanish w:val="false"/>
              </w:rPr>
              <w:t>Существующие подходы к измерению параметров сигналов</w:t>
              <w:tab/>
              <w:t>12</w:t>
            </w:r>
          </w:hyperlink>
        </w:p>
        <w:p>
          <w:pPr>
            <w:pStyle w:val="TOC2"/>
            <w:tabs>
              <w:tab w:val="clear" w:pos="9072"/>
              <w:tab w:val="right" w:pos="9354" w:leader="dot"/>
            </w:tabs>
            <w:rPr/>
          </w:pPr>
          <w:hyperlink w:anchor="__RefHeading___Toc2165_1929968905">
            <w:r>
              <w:rPr>
                <w:webHidden/>
                <w:rStyle w:val="IndexLink"/>
                <w:vanish w:val="false"/>
              </w:rPr>
              <w:t>1.5 Патентный поиск и обзор аналогичных решений</w:t>
              <w:tab/>
              <w:t>17</w:t>
            </w:r>
          </w:hyperlink>
        </w:p>
        <w:p>
          <w:pPr>
            <w:pStyle w:val="TOC2"/>
            <w:tabs>
              <w:tab w:val="clear" w:pos="9072"/>
              <w:tab w:val="right" w:pos="9354" w:leader="dot"/>
            </w:tabs>
            <w:rPr/>
          </w:pPr>
          <w:hyperlink w:anchor="__RefHeading___Toc2167_1929968905">
            <w:r>
              <w:rPr>
                <w:webHidden/>
                <w:rStyle w:val="IndexLink"/>
                <w:vanish w:val="false"/>
              </w:rPr>
              <w:t>8. Рекомендованный объём экспериментальной проверки</w:t>
              <w:tab/>
              <w:t>19</w:t>
            </w:r>
          </w:hyperlink>
        </w:p>
        <w:p>
          <w:pPr>
            <w:pStyle w:val="TOC1"/>
            <w:tabs>
              <w:tab w:val="clear" w:pos="9345"/>
              <w:tab w:val="right" w:pos="9354" w:leader="dot"/>
            </w:tabs>
            <w:rPr/>
          </w:pPr>
          <w:hyperlink w:anchor="__RefHeading___Toc229529023">
            <w:r>
              <w:rPr>
                <w:webHidden/>
                <w:rStyle w:val="IndexLink"/>
                <w:vanish w:val="false"/>
              </w:rPr>
              <w:t>2. ПРЕДЛАГАЕМЫЕ СПОСОБЫ РЕШЕНИЯ ПРОБЛЕМЫ</w:t>
              <w:tab/>
              <w:t>22</w:t>
            </w:r>
          </w:hyperlink>
        </w:p>
        <w:p>
          <w:pPr>
            <w:pStyle w:val="TOC2"/>
            <w:tabs>
              <w:tab w:val="clear" w:pos="9072"/>
              <w:tab w:val="right" w:pos="9354" w:leader="dot"/>
            </w:tabs>
            <w:rPr/>
          </w:pPr>
          <w:hyperlink w:anchor="__RefHeading___Toc2169_1929968905">
            <w:r>
              <w:rPr>
                <w:webHidden/>
                <w:rStyle w:val="IndexLink"/>
                <w:vanish w:val="false"/>
              </w:rPr>
              <w:t>2.1 Аналоговые методы</w:t>
              <w:tab/>
              <w:t>22</w:t>
            </w:r>
          </w:hyperlink>
        </w:p>
        <w:p>
          <w:pPr>
            <w:pStyle w:val="TOC2"/>
            <w:tabs>
              <w:tab w:val="clear" w:pos="9072"/>
              <w:tab w:val="right" w:pos="9354" w:leader="dot"/>
            </w:tabs>
            <w:rPr/>
          </w:pPr>
          <w:hyperlink w:anchor="__RefHeading___Toc2171_1929968905">
            <w:r>
              <w:rPr>
                <w:webHidden/>
                <w:rStyle w:val="IndexLink"/>
                <w:vanish w:val="false"/>
              </w:rPr>
              <w:t>2.2 Цифровые методы</w:t>
              <w:tab/>
              <w:t>24</w:t>
            </w:r>
          </w:hyperlink>
        </w:p>
        <w:p>
          <w:pPr>
            <w:pStyle w:val="TOC2"/>
            <w:tabs>
              <w:tab w:val="clear" w:pos="9072"/>
              <w:tab w:val="right" w:pos="9354" w:leader="dot"/>
            </w:tabs>
            <w:rPr/>
          </w:pPr>
          <w:hyperlink w:anchor="__RefHeading___Toc2173_1929968905">
            <w:r>
              <w:rPr>
                <w:webHidden/>
                <w:rStyle w:val="IndexLink"/>
                <w:vanish w:val="false"/>
              </w:rPr>
              <w:t>2.3 Сравнительный анализ и патентный поиск</w:t>
              <w:tab/>
              <w:t>27</w:t>
            </w:r>
          </w:hyperlink>
        </w:p>
        <w:p>
          <w:pPr>
            <w:pStyle w:val="TOC2"/>
            <w:tabs>
              <w:tab w:val="clear" w:pos="9072"/>
              <w:tab w:val="right" w:pos="9354" w:leader="dot"/>
            </w:tabs>
            <w:rPr/>
          </w:pPr>
          <w:hyperlink w:anchor="__RefHeading___Toc2175_1929968905">
            <w:r>
              <w:rPr>
                <w:webHidden/>
                <w:rStyle w:val="IndexLink"/>
                <w:vanish w:val="false"/>
              </w:rPr>
              <w:t>2.4 Варианты реализации и сравнение</w:t>
              <w:tab/>
              <w:t>29</w:t>
            </w:r>
          </w:hyperlink>
        </w:p>
        <w:p>
          <w:pPr>
            <w:pStyle w:val="TOC2"/>
            <w:tabs>
              <w:tab w:val="clear" w:pos="9072"/>
              <w:tab w:val="right" w:pos="9354" w:leader="dot"/>
            </w:tabs>
            <w:rPr/>
          </w:pPr>
          <w:hyperlink w:anchor="__RefHeading___Toc2177_1929968905">
            <w:r>
              <w:rPr>
                <w:webHidden/>
                <w:rStyle w:val="IndexLink"/>
                <w:vanish w:val="false"/>
              </w:rPr>
              <w:t>2.5 Реализация подхода на STM32F407</w:t>
              <w:tab/>
              <w:t>31</w:t>
            </w:r>
          </w:hyperlink>
        </w:p>
        <w:p>
          <w:pPr>
            <w:pStyle w:val="TOC2"/>
            <w:tabs>
              <w:tab w:val="clear" w:pos="9072"/>
              <w:tab w:val="right" w:pos="9354" w:leader="dot"/>
            </w:tabs>
            <w:rPr/>
          </w:pPr>
          <w:hyperlink w:anchor="__RefHeading___Toc2179_1929968905">
            <w:r>
              <w:rPr>
                <w:webHidden/>
                <w:rStyle w:val="IndexLink"/>
                <w:vanish w:val="false"/>
              </w:rPr>
              <w:t>2.6 Гистограммный метод: алгоритм и статистика</w:t>
              <w:tab/>
              <w:t>32</w:t>
            </w:r>
          </w:hyperlink>
        </w:p>
        <w:p>
          <w:pPr>
            <w:pStyle w:val="TOC2"/>
            <w:tabs>
              <w:tab w:val="clear" w:pos="9072"/>
              <w:tab w:val="right" w:pos="9354" w:leader="dot"/>
            </w:tabs>
            <w:rPr/>
          </w:pPr>
          <w:hyperlink w:anchor="__RefHeading___Toc2181_1929968905">
            <w:r>
              <w:rPr>
                <w:webHidden/>
                <w:rStyle w:val="IndexLink"/>
                <w:vanish w:val="false"/>
              </w:rPr>
              <w:t>2.7 Альтернативы: FFT и корреляция</w:t>
              <w:tab/>
              <w:t>34</w:t>
            </w:r>
          </w:hyperlink>
        </w:p>
        <w:p>
          <w:pPr>
            <w:pStyle w:val="TOC2"/>
            <w:tabs>
              <w:tab w:val="clear" w:pos="9072"/>
              <w:tab w:val="right" w:pos="9354" w:leader="dot"/>
            </w:tabs>
            <w:rPr/>
          </w:pPr>
          <w:hyperlink w:anchor="__RefHeading___Toc2183_1929968905">
            <w:r>
              <w:rPr>
                <w:webHidden/>
                <w:rStyle w:val="IndexLink"/>
                <w:vanish w:val="false"/>
              </w:rPr>
              <w:t>2.8 План экспериментальной проверки</w:t>
              <w:tab/>
              <w:t>35</w:t>
            </w:r>
          </w:hyperlink>
        </w:p>
        <w:p>
          <w:pPr>
            <w:pStyle w:val="TOC2"/>
            <w:tabs>
              <w:tab w:val="clear" w:pos="9072"/>
              <w:tab w:val="right" w:pos="9354" w:leader="dot"/>
            </w:tabs>
            <w:rPr/>
          </w:pPr>
          <w:hyperlink w:anchor="__RefHeading___Toc2185_1929968905">
            <w:r>
              <w:rPr>
                <w:webHidden/>
                <w:rStyle w:val="IndexLink"/>
                <w:vanish w:val="false"/>
              </w:rPr>
              <w:t>2.9. Описание и обоснование выбранного подхода</w:t>
              <w:tab/>
              <w:t>36</w:t>
            </w:r>
          </w:hyperlink>
        </w:p>
        <w:p>
          <w:pPr>
            <w:pStyle w:val="TOC1"/>
            <w:tabs>
              <w:tab w:val="clear" w:pos="9345"/>
              <w:tab w:val="right" w:pos="9354" w:leader="dot"/>
            </w:tabs>
            <w:rPr/>
          </w:pPr>
          <w:hyperlink w:anchor="__RefHeading___Toc229529025">
            <w:r>
              <w:rPr>
                <w:webHidden/>
                <w:rStyle w:val="IndexLink"/>
                <w:vanish w:val="false"/>
              </w:rPr>
              <w:t>СПИСОК ИСПОЛЬЗОВАННЫХ ИСТОЧНИКОВ</w:t>
              <w:tab/>
              <w:t>38</w:t>
            </w:r>
          </w:hyperlink>
        </w:p>
        <w:p>
          <w:pPr>
            <w:pStyle w:val="TOC1"/>
            <w:tabs>
              <w:tab w:val="clear" w:pos="9345"/>
              <w:tab w:val="right" w:pos="9354" w:leader="dot"/>
            </w:tabs>
            <w:rPr/>
          </w:pPr>
          <w:hyperlink w:anchor="__RefHeading___Toc229529026">
            <w:r>
              <w:rPr>
                <w:webHidden/>
                <w:rStyle w:val="IndexLink"/>
                <w:vanish w:val="false"/>
              </w:rPr>
              <w:t>ПРИЛОЖЕНИЯ</w:t>
              <w:tab/>
              <w:t>39</w:t>
            </w:r>
          </w:hyperlink>
          <w:r>
            <w:rPr>
              <w:rStyle w:val="IndexLink"/>
              <w:vanish w:val="false"/>
            </w:rPr>
            <w:fldChar w:fldCharType="end"/>
          </w:r>
        </w:p>
        <w:p>
          <w:pPr>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701" w:right="850" w:gutter="0" w:header="708" w:top="1134" w:footer="708" w:bottom="1134"/>
              <w:pgNumType w:fmt="decimal"/>
              <w:formProt w:val="false"/>
              <w:titlePg/>
              <w:textDirection w:val="lrTb"/>
              <w:docGrid w:type="default" w:linePitch="360" w:charSpace="0"/>
            </w:sectPr>
          </w:pPr>
        </w:p>
      </w:sdtContent>
    </w:sdt>
    <w:p>
      <w:pPr>
        <w:pStyle w:val="Heading1"/>
        <w:numPr>
          <w:ilvl w:val="0"/>
          <w:numId w:val="1"/>
        </w:numPr>
        <w:ind w:firstLine="709"/>
        <w:rPr>
          <w:highlight w:val="none"/>
          <w:shd w:fill="81D41A" w:val="clear"/>
        </w:rPr>
      </w:pPr>
      <w:bookmarkStart w:id="0" w:name="__RefHeading___Toc229529021"/>
      <w:bookmarkEnd w:id="0"/>
      <w:r>
        <w:rPr>
          <w:shd w:fill="81D41A" w:val="clear"/>
        </w:rPr>
        <w:t>ВВЕДЕНИЕ</w:t>
      </w:r>
    </w:p>
    <w:p>
      <w:pPr>
        <w:pStyle w:val="BodyText"/>
        <w:rPr/>
      </w:pPr>
      <w:r>
        <w:rPr/>
      </w:r>
    </w:p>
    <w:p>
      <w:pPr>
        <w:pStyle w:val="BodyText"/>
        <w:rPr/>
      </w:pPr>
      <w:r>
        <w:rPr>
          <w:lang w:eastAsia="ru-RU"/>
        </w:rPr>
        <w:t>Основными целями преддипломной практики по направлению подготовки 11.04.03 Конструирование и технология электронных средств являются:</w:t>
      </w:r>
    </w:p>
    <w:p>
      <w:pPr>
        <w:pStyle w:val="BodyText"/>
        <w:rPr>
          <w:lang w:eastAsia="ru-RU"/>
        </w:rPr>
      </w:pPr>
      <w:r>
        <w:rPr>
          <w:lang w:eastAsia="ru-RU"/>
        </w:rPr>
        <w:t>–</w:t>
      </w:r>
      <w:r>
        <w:rPr>
          <w:rFonts w:eastAsia="Times New Roman"/>
          <w:lang w:eastAsia="ru-RU"/>
        </w:rPr>
        <w:t xml:space="preserve"> </w:t>
      </w:r>
      <w:r>
        <w:rPr>
          <w:lang w:eastAsia="ru-RU"/>
        </w:rPr>
        <w:t>выполнение выпускной квалификационной работы;</w:t>
      </w:r>
    </w:p>
    <w:p>
      <w:pPr>
        <w:pStyle w:val="BodyText"/>
        <w:rPr/>
      </w:pPr>
      <w:r>
        <w:rPr>
          <w:lang w:eastAsia="ru-RU"/>
        </w:rPr>
        <w:t>–</w:t>
      </w:r>
      <w:r>
        <w:rPr>
          <w:rFonts w:eastAsia="Times New Roman"/>
          <w:lang w:eastAsia="ru-RU"/>
        </w:rPr>
        <w:t xml:space="preserve"> </w:t>
      </w:r>
      <w:r>
        <w:rPr>
          <w:lang w:eastAsia="ru-RU"/>
        </w:rPr>
        <w:t>закрепление, углубление и практическое применение знаний, полученных при изучении дисциплин базовой и вариативной части учебного плана;</w:t>
      </w:r>
    </w:p>
    <w:p>
      <w:pPr>
        <w:pStyle w:val="BodyText"/>
        <w:rPr/>
      </w:pPr>
      <w:r>
        <w:rPr>
          <w:lang w:eastAsia="ru-RU"/>
        </w:rPr>
        <w:t>–</w:t>
      </w:r>
      <w:r>
        <w:rPr>
          <w:rFonts w:eastAsia="Times New Roman"/>
          <w:lang w:eastAsia="ru-RU"/>
        </w:rPr>
        <w:t xml:space="preserve"> </w:t>
      </w:r>
      <w:r>
        <w:rPr>
          <w:lang w:eastAsia="ru-RU"/>
        </w:rPr>
        <w:t>приобретение необходимых знаний и навыков организаторской и профессиональной работы на производстве;</w:t>
      </w:r>
    </w:p>
    <w:p>
      <w:pPr>
        <w:pStyle w:val="BodyText"/>
        <w:rPr/>
      </w:pPr>
      <w:r>
        <w:rPr/>
        <w:t>–</w:t>
      </w:r>
      <w:r>
        <w:rPr>
          <w:rFonts w:eastAsia="Times New Roman"/>
        </w:rPr>
        <w:t xml:space="preserve"> </w:t>
      </w:r>
      <w:r>
        <w:rPr/>
        <w:t>получения практических навыков решения задач, поставленных перед специалистом в выпускной квалификационной работе;</w:t>
      </w:r>
    </w:p>
    <w:p>
      <w:pPr>
        <w:pStyle w:val="BodyText"/>
        <w:rPr/>
      </w:pPr>
      <w:r>
        <w:rPr/>
        <w:t>–</w:t>
      </w:r>
      <w:r>
        <w:rPr>
          <w:rFonts w:eastAsia="Times New Roman"/>
        </w:rPr>
        <w:t xml:space="preserve"> </w:t>
      </w:r>
      <w:r>
        <w:rPr/>
        <w:t>сбор фактического материала по теме выпускной квалификационной работы и выполнение на его основе разделов ВКР.</w:t>
      </w:r>
    </w:p>
    <w:p>
      <w:pPr>
        <w:pStyle w:val="BodyText"/>
        <w:rPr/>
      </w:pPr>
      <w:r>
        <w:rPr/>
        <w:t xml:space="preserve">Прохождение преддипломной практики по направлению подготовки </w:t>
      </w:r>
      <w:r>
        <w:rPr>
          <w:rFonts w:eastAsia="Arial Unicode MS"/>
          <w:color w:val="00000A"/>
        </w:rPr>
        <w:t xml:space="preserve">11.04.03 Конструирование и технология электронных средств </w:t>
      </w:r>
      <w:r>
        <w:rPr/>
        <w:t xml:space="preserve">обеспечивает формирование предусмотренных учебным планом профессиональных компетенций: </w:t>
      </w:r>
    </w:p>
    <w:p>
      <w:pPr>
        <w:pStyle w:val="BodyText"/>
        <w:rPr/>
      </w:pPr>
      <w:r>
        <w:rPr/>
        <w:t xml:space="preserve">– </w:t>
      </w:r>
      <w:r>
        <w:rPr/>
        <w:t>способность самостоятельно осуществлять постановку задачи исследования, формирование плана реализации исследования, выбор методов исследования и обработку результатов</w:t>
      </w:r>
    </w:p>
    <w:p>
      <w:pPr>
        <w:pStyle w:val="BodyText"/>
        <w:rPr/>
      </w:pPr>
      <w:r>
        <w:rPr/>
        <w:t xml:space="preserve">– </w:t>
      </w:r>
      <w:r>
        <w:rPr/>
        <w:t>способность выполнять моделирование объектов и процессов с целью анализа и оптимизации их параметров с использованием имеющихся средств исследований, включая стандартные пакеты прикладных программ;</w:t>
      </w:r>
    </w:p>
    <w:p>
      <w:pPr>
        <w:pStyle w:val="BodyText"/>
        <w:rPr/>
      </w:pPr>
      <w:r>
        <w:rPr/>
        <w:t xml:space="preserve">– </w:t>
      </w:r>
      <w:r>
        <w:rPr/>
        <w:t>готовность использовать</w:t>
      </w:r>
      <w:r>
        <w:rPr>
          <w:spacing w:val="-10"/>
        </w:rPr>
        <w:t xml:space="preserve"> </w:t>
      </w:r>
      <w:r>
        <w:rPr/>
        <w:t>современные языки программирования для построения эффективных алгоритмов решения сформулированных задач;</w:t>
      </w:r>
    </w:p>
    <w:p>
      <w:pPr>
        <w:pStyle w:val="BodyText"/>
        <w:rPr/>
      </w:pPr>
      <w:r>
        <w:rPr/>
        <w:t xml:space="preserve">– </w:t>
      </w:r>
      <w:r>
        <w:rPr/>
        <w:t>способность планировать и</w:t>
      </w:r>
      <w:r>
        <w:rPr>
          <w:spacing w:val="-6"/>
        </w:rPr>
        <w:t xml:space="preserve"> </w:t>
      </w:r>
      <w:r>
        <w:rPr/>
        <w:t>проводить эксперименты, обрабатывать и анализировать их результаты;</w:t>
      </w:r>
    </w:p>
    <w:p>
      <w:pPr>
        <w:pStyle w:val="BodyText"/>
        <w:rPr/>
      </w:pPr>
      <w:r>
        <w:rPr/>
        <w:t xml:space="preserve">– </w:t>
      </w:r>
      <w:r>
        <w:rPr/>
        <w:t>способность оценивать значимость и перспективы использования результатов исследования, подготавливать отчеты, обзоры, доклады и публикации по результатам работы, заявки на изобретения, разрабатывать рекомендации по практическому использованию полученных результатов;</w:t>
      </w:r>
    </w:p>
    <w:p>
      <w:pPr>
        <w:pStyle w:val="BodyText"/>
        <w:rPr/>
      </w:pPr>
      <w:r>
        <w:rPr/>
        <w:t xml:space="preserve">– </w:t>
      </w:r>
      <w:r>
        <w:rPr/>
        <w:t>способность анализировать состояние научно-технической проблемы путем подбора, изучения и анализа литературных и патентных источников;</w:t>
      </w:r>
    </w:p>
    <w:p>
      <w:pPr>
        <w:pStyle w:val="BodyText"/>
        <w:rPr/>
      </w:pPr>
      <w:r>
        <w:rPr/>
        <w:t xml:space="preserve">– </w:t>
      </w:r>
      <w:r>
        <w:rPr/>
        <w:t>способность проектировать модули, блоки, системы и комплексы электронных средств с учетом заданных требований;</w:t>
      </w:r>
    </w:p>
    <w:p>
      <w:pPr>
        <w:pStyle w:val="BodyText"/>
        <w:rPr/>
      </w:pPr>
      <w:r>
        <w:rPr/>
        <w:t xml:space="preserve">– </w:t>
      </w:r>
      <w:r>
        <w:rPr/>
        <w:t>готовность проектировать технологические процессы производства электронных средств с использованием автоматизированных систем технологической подготовки производства.</w:t>
      </w:r>
    </w:p>
    <w:p>
      <w:pPr>
        <w:pStyle w:val="BodyText"/>
        <w:rPr/>
      </w:pPr>
      <w:r>
        <w:rPr/>
        <w:t xml:space="preserve">Во время преддипломной практики по направлению подготовки 11.04.03 Конструирование и технология электронных средств студент должен: </w:t>
      </w:r>
    </w:p>
    <w:p>
      <w:pPr>
        <w:pStyle w:val="BodyText"/>
        <w:rPr>
          <w:lang w:eastAsia="ru-RU"/>
        </w:rPr>
      </w:pPr>
      <w:r>
        <w:rPr>
          <w:lang w:eastAsia="ru-RU"/>
        </w:rPr>
        <w:t>–</w:t>
      </w:r>
      <w:r>
        <w:rPr>
          <w:rFonts w:eastAsia="Times New Roman"/>
          <w:lang w:eastAsia="ru-RU"/>
        </w:rPr>
        <w:t xml:space="preserve"> </w:t>
      </w:r>
      <w:r>
        <w:rPr>
          <w:lang w:eastAsia="ru-RU"/>
        </w:rPr>
        <w:t>изучить современного состояния и перспективных направлений развития приборов и устройств электронного направления;</w:t>
      </w:r>
    </w:p>
    <w:p>
      <w:pPr>
        <w:pStyle w:val="BodyText"/>
        <w:rPr/>
      </w:pPr>
      <w:r>
        <w:rPr/>
        <w:t>–</w:t>
      </w:r>
      <w:r>
        <w:rPr>
          <w:rFonts w:eastAsia="Times New Roman"/>
        </w:rPr>
        <w:t xml:space="preserve"> </w:t>
      </w:r>
      <w:r>
        <w:rPr/>
        <w:t>выполнить этапы ВКР по направлению подготовки 11.04.03 Конструирование и технология электронных средств, определенных темой ВКР и индивидуальным заданием на преддипломную практику, календарным планом, формой представления отчетных материалов и обеспечивающих выполнение планируемых в компетентностном формате результатов;</w:t>
      </w:r>
    </w:p>
    <w:p>
      <w:pPr>
        <w:pStyle w:val="BodyText"/>
        <w:rPr/>
      </w:pPr>
      <w:r>
        <w:rPr/>
        <w:t>–</w:t>
      </w:r>
      <w:r>
        <w:rPr>
          <w:rFonts w:eastAsia="Times New Roman"/>
        </w:rPr>
        <w:t xml:space="preserve"> </w:t>
      </w:r>
      <w:r>
        <w:rPr/>
        <w:t>оформить отчет, содержащий материалы этапов прохождения преддипломной практики, раскрывающих уровень освоения заданного перечня компетенций, и разделы ВКР по направлению подготовки 11.04.03 Конструирование и технология электронных средств, выполненные согласно утвержденному руководителем ВКР плану работы.</w:t>
      </w:r>
      <w:r>
        <w:br w:type="page"/>
      </w:r>
    </w:p>
    <w:p>
      <w:pPr>
        <w:pStyle w:val="Heading1"/>
        <w:numPr>
          <w:ilvl w:val="0"/>
          <w:numId w:val="1"/>
        </w:numPr>
        <w:spacing w:before="0" w:after="0"/>
        <w:ind w:firstLine="709"/>
        <w:rPr/>
      </w:pPr>
      <w:bookmarkStart w:id="1" w:name="__RefHeading___Toc229529022"/>
      <w:bookmarkEnd w:id="1"/>
      <w:r>
        <w:rPr/>
        <w:t>1. АНАЛИЗ СОСТОЯНИЯ ПРОБЛЕМЫ</w:t>
      </w:r>
    </w:p>
    <w:p>
      <w:pPr>
        <w:pStyle w:val="BodyText"/>
        <w:rPr/>
      </w:pPr>
      <w:r>
        <w:rPr/>
      </w:r>
    </w:p>
    <w:p>
      <w:pPr>
        <w:pStyle w:val="BodyText"/>
        <w:rPr>
          <w:lang w:val="ru-RU"/>
        </w:rPr>
      </w:pPr>
      <w:r>
        <w:rPr/>
        <w:t xml:space="preserve">Глава </w:t>
      </w:r>
      <w:r>
        <w:rPr>
          <w:lang w:val="ru-RU"/>
        </w:rPr>
        <w:t>посвящена обзору теории и практики измерения параметров периодических сигналов в условиях помех. Рассматриваются основные определения и свойства периодических сигналов[</w:t>
      </w:r>
      <w:r>
        <w:rPr>
          <w:lang w:val="ru-RU"/>
        </w:rPr>
        <w:t>6</w:t>
      </w:r>
      <w:r>
        <w:rPr>
          <w:lang w:val="ru-RU"/>
        </w:rPr>
        <w:t>], их роль в различных прикладных областях (связи, радиолокации, медицине, промышленной автоматизации и пр.) и основные виды помех (тепловые шумы, импульсные помехи, ЭМИ, фазовый шум, джиттер и др.) с их влиянием на оценку амплитуды и частоты.</w:t>
      </w:r>
    </w:p>
    <w:p>
      <w:pPr>
        <w:pStyle w:val="BodyText"/>
        <w:rPr>
          <w:lang w:val="ru-RU"/>
        </w:rPr>
      </w:pPr>
      <w:r>
        <w:rPr>
          <w:lang w:val="ru-RU"/>
        </w:rPr>
        <w:t>Далее анализируются методы измерения: от простых аналоговых (компараторы, частотомеры, ФАПЧ и др.) до цифровых (АЦП + МК, БПФ, корреляция, измерение по нулевым пересечениям, гистограммный анализ и др.).</w:t>
      </w:r>
    </w:p>
    <w:p>
      <w:pPr>
        <w:pStyle w:val="BodyText"/>
        <w:rPr>
          <w:lang w:val="ru-RU"/>
        </w:rPr>
      </w:pPr>
      <w:r>
        <w:rPr>
          <w:lang w:val="ru-RU"/>
        </w:rPr>
        <w:t>Для каждого метода описаны принципы работы, достоинства и недостатки, сложность реализации, стоимость компонентов, помехоустойчивость и гибкость алгоритмов.</w:t>
      </w:r>
    </w:p>
    <w:p>
      <w:pPr>
        <w:pStyle w:val="BodyText"/>
        <w:rPr>
          <w:lang w:val="ru-RU"/>
        </w:rPr>
      </w:pPr>
      <w:r>
        <w:rPr>
          <w:lang w:val="ru-RU"/>
        </w:rPr>
        <w:t>Проведен краткий патентный поиск: показано, что есть отдельные патенты на методы измерения частоты и спектральный анализ (например, RU2183839C1, RU2229139C1), но нет явно серийных узкоспециальных приборов за исключением осциллографов[7].</w:t>
      </w:r>
    </w:p>
    <w:p>
      <w:pPr>
        <w:pStyle w:val="BodyText"/>
        <w:rPr>
          <w:lang w:val="ru-RU"/>
        </w:rPr>
      </w:pPr>
      <w:r>
        <w:rPr>
          <w:lang w:val="ru-RU"/>
        </w:rPr>
        <w:t>Сформулированы критерии сравнения методов (сложность разработки, стоимость, гибкость, точность) и приведены таблицы сравнения. Рекомендуются направления экспериментальной проверки, включая тесты с различными сигналами и помехами.</w:t>
      </w:r>
    </w:p>
    <w:p>
      <w:pPr>
        <w:pStyle w:val="Heading2"/>
        <w:rPr/>
      </w:pPr>
      <w:bookmarkStart w:id="2" w:name="__RefHeading___Toc2155_1929968905"/>
      <w:bookmarkEnd w:id="2"/>
      <w:r>
        <w:rPr>
          <w:shd w:fill="auto" w:val="clear"/>
        </w:rPr>
        <w:t>1.1 Периодичес</w:t>
      </w:r>
      <w:r>
        <w:rPr/>
        <w:t>кие сигналы: определение и значение</w:t>
      </w:r>
    </w:p>
    <w:p>
      <w:pPr>
        <w:pStyle w:val="BodyText"/>
        <w:rPr/>
      </w:pPr>
      <w:r>
        <w:rPr/>
      </w:r>
    </w:p>
    <w:p>
      <w:pPr>
        <w:pStyle w:val="BodyText"/>
        <w:rPr/>
      </w:pPr>
      <w:r>
        <w:rPr>
          <w:b/>
          <w:bCs/>
        </w:rPr>
        <w:t>Определение:</w:t>
      </w:r>
      <w:r>
        <w:rPr/>
        <w:t xml:space="preserve"> Сигнал называется периодическим, если его форма повторяется с постоянным периодом T, то есть:</w:t>
      </w:r>
    </w:p>
    <w:p>
      <w:pPr>
        <w:pStyle w:val="BodyText"/>
        <w:widowControl w:val="false"/>
        <w:suppressAutoHyphens w:val="true"/>
        <w:bidi w:val="0"/>
        <w:spacing w:lineRule="auto" w:line="360" w:before="0" w:after="0"/>
        <w:ind w:firstLine="709"/>
        <w:rPr>
          <w:rFonts w:ascii="Times New Roman" w:hAnsi="Times New Roman" w:eastAsia="Calibri" w:cs="Times New Roman"/>
          <w:color w:val="auto"/>
          <w:kern w:val="0"/>
          <w:sz w:val="28"/>
          <w:szCs w:val="20"/>
          <w:lang w:val="ru-RU" w:eastAsia="zh-CN" w:bidi="ar-SA"/>
        </w:rPr>
      </w:pPr>
      <w:r>
        <w:rPr/>
      </w:r>
      <m:oMath xmlns:m="http://schemas.openxmlformats.org/officeDocument/2006/math">
        <m:r>
          <m:t xml:space="preserve">x</m:t>
        </m:r>
        <m:d>
          <m:dPr>
            <m:begChr m:val="("/>
            <m:endChr m:val=")"/>
          </m:dPr>
          <m:e>
            <m:r>
              <m:t xml:space="preserve">t</m:t>
            </m:r>
          </m:e>
        </m:d>
        <m:r>
          <m:t xml:space="preserve">=</m:t>
        </m:r>
        <m:r>
          <m:t xml:space="preserve">x</m:t>
        </m:r>
        <m:d>
          <m:dPr>
            <m:begChr m:val="("/>
            <m:endChr m:val=")"/>
          </m:dPr>
          <m:e>
            <m:r>
              <m:t xml:space="preserve">t</m:t>
            </m:r>
            <m:r>
              <m:t xml:space="preserve">+</m:t>
            </m:r>
            <m:r>
              <m:t xml:space="preserve">T</m:t>
            </m:r>
          </m:e>
        </m:d>
      </m:oMath>
      <w:r>
        <w:rPr/>
        <w:t>,</w:t>
      </w:r>
    </w:p>
    <w:p>
      <w:pPr>
        <w:pStyle w:val="BodyText"/>
        <w:rPr/>
      </w:pPr>
      <w:r>
        <w:rPr/>
        <w:t xml:space="preserve">при любом t </w:t>
      </w:r>
      <w:r>
        <w:fldChar w:fldCharType="begin"/>
      </w:r>
      <w:r>
        <w:rPr>
          <w:rStyle w:val="Hyperlink"/>
        </w:rPr>
        <w:instrText xml:space="preserve"> HYPERLINK "https://siblec.ru/telekommunikatsii/vvedenie-v-spetsialnost/3-signaly-vidy-signalov-i-ikh-parametry" \l ":~:text=%D0%9F%D0%B5%D1%80%D0%B8%D0%BE%D0%B4%D0%B8%D1%87%D0%B5%D1%81%D0%BA%D0%B8%D0%BC%20%D0%BD%D0%B0%D0%B7%D1%8B%D0%B2%D0%B0%D0%B5%D1%82%D1%81%D1%8F%20%D1%81%D0%B8%D0%B3%D0%BD%D0%B0%D0%BB%2C%20%D0%B7%D0%BD%D0%B0%D1%87%D0%B5%D0%BD%D0%B8%D1%8F%20%D0%BA%D0%BE%D1%82%D0%BE%D1%80%D0%BE%D0%B3%D0%BE,%D1%81%D0%B8%D0%B3%D0%BD%D0%B0%D0%BB%D0%B0%20%D1%8D%D1%82%D0%BE%20%D1%83%D1%81%D0%BB%D0%BE%D0%B2%D0%B8%D0%B5%20%D0%BD%D0%B5%20%D0%B2%D1%8B%D0%BF%D0%BE%D0%BB%D0%BD%D1%8F%D0%B5%D1%82%D1%81%D1%8F"</w:instrText>
      </w:r>
      <w:r>
        <w:rPr>
          <w:rStyle w:val="Hyperlink"/>
        </w:rPr>
        <w:fldChar w:fldCharType="separate"/>
      </w:r>
      <w:r>
        <w:rPr>
          <w:rStyle w:val="Hyperlink"/>
        </w:rPr>
        <w:t>[3]</w:t>
      </w:r>
      <w:r>
        <w:rPr>
          <w:rStyle w:val="Hyperlink"/>
        </w:rPr>
        <w:fldChar w:fldCharType="end"/>
      </w:r>
      <w:r>
        <w:rPr/>
        <w:t xml:space="preserve">. Простейшая форма – гармоническое (синусоидальное) колебание с амплитудой A и частотой f=1/T </w:t>
      </w:r>
      <w:r>
        <w:fldChar w:fldCharType="begin"/>
      </w:r>
      <w:r>
        <w:rPr>
          <w:rStyle w:val="Hyperlink"/>
        </w:rPr>
        <w:instrText xml:space="preserve"> HYPERLINK "https://studfile.net/preview/7013044/page:2/" \l ":~:text=%D0%9F%D1%80%D0%BE%D1%81%D1%82%D0%B5%D0%B9%D1%88%D0%B8%D0%BC%20%D0%BF%D0%B5%D1%80%D0%B8%D0%BE%D0%B4%D0%B8%D1%87%D0%B5%D1%81%D0%BA%D0%B8%D0%BC%20%D0%B4%D0%B5%D1%82%D0%B5%D1%80%D0%BC%D0%B8%D0%BD%D0%B8%D1%80%D0%BE%D0%B2%D0%B0%D0%BD%D0%BD%D1%8B%D0%BC%20%D1%81%D0%B8%D0%B3%D0%BD%D0%B0%D0%BB%D0%BE%D0%BC%20%D1%8F%D0%B2%D0%BB%D1%8F%C2%AD%D0%B5%D1%82%D1%81%D1%8F,%D0%BE%D0%BF%D1%80%D0%B5%D0%B4%D0%B5%D0%BB%D1%8F%D0%B5%D0%BC%D0%BE%D0%B5%20%D0%B7%D0%B0%D0%BA%D0%BE%D0%BD%D0%BE%D0%BC"</w:instrText>
      </w:r>
      <w:r>
        <w:rPr>
          <w:rStyle w:val="Hyperlink"/>
        </w:rPr>
        <w:fldChar w:fldCharType="separate"/>
      </w:r>
      <w:r>
        <w:rPr>
          <w:rStyle w:val="Hyperlink"/>
        </w:rPr>
        <w:t>[4]</w:t>
      </w:r>
      <w:r>
        <w:rPr>
          <w:rStyle w:val="Hyperlink"/>
        </w:rPr>
        <w:fldChar w:fldCharType="end"/>
      </w:r>
      <w:r>
        <w:fldChar w:fldCharType="begin"/>
      </w:r>
      <w:r>
        <w:rPr>
          <w:rStyle w:val="Hyperlink"/>
        </w:rPr>
        <w:instrText xml:space="preserve"> HYPERLINK "https://siblec.ru/telekommunikatsii/vvedenie-v-spetsialnost/3-signaly-vidy-signalov-i-ikh-parametry" \l ":~:text=%D0%9F%D0%B5%D1%80%D0%B8%D0%BE%D0%B4%D0%B8%D1%87%D0%B5%D1%81%D0%BA%D0%B8%D0%BC%20%D0%BD%D0%B0%D0%B7%D1%8B%D0%B2%D0%B0%D0%B5%D1%82%D1%81%D1%8F%20%D1%81%D0%B8%D0%B3%D0%BD%D0%B0%D0%BB%2C%20%D0%B7%D0%BD%D0%B0%D1%87%D0%B5%D0%BD%D0%B8%D1%8F%20%D0%BA%D0%BE%D1%82%D0%BE%D1%80%D0%BE%D0%B3%D0%BE,%D1%81%D0%B8%D0%B3%D0%BD%D0%B0%D0%BB%D0%B0%20%D1%8D%D1%82%D0%BE%20%D1%83%D1%81%D0%BB%D0%BE%D0%B2%D0%B8%D0%B5%20%D0%BD%D0%B5%20%D0%B2%D1%8B%D0%BF%D0%BE%D0%BB%D0%BD%D1%8F%D0%B5%D1%82%D1%81%D1%8F"</w:instrText>
      </w:r>
      <w:r>
        <w:rPr>
          <w:rStyle w:val="Hyperlink"/>
        </w:rPr>
        <w:fldChar w:fldCharType="separate"/>
      </w:r>
      <w:r>
        <w:rPr>
          <w:rStyle w:val="Hyperlink"/>
        </w:rPr>
        <w:t>[3]</w:t>
      </w:r>
      <w:r>
        <w:rPr>
          <w:rStyle w:val="Hyperlink"/>
        </w:rPr>
        <w:fldChar w:fldCharType="end"/>
      </w:r>
      <w:r>
        <w:rPr/>
        <w:t xml:space="preserve">. Сумма гармоник различной кратности основной частоты порождает сложные периодические волны (например, меандр, треугольник). </w:t>
      </w:r>
      <w:r>
        <w:rPr>
          <w:i/>
          <w:iCs/>
        </w:rPr>
        <w:t>Фурье-преобразование</w:t>
      </w:r>
      <w:r>
        <w:rPr/>
        <w:t xml:space="preserve"> позволяет разложить любой периодический сигнал в ряд синусоид с частотами n/T </w:t>
      </w:r>
      <w:r>
        <w:fldChar w:fldCharType="begin"/>
      </w:r>
      <w:r>
        <w:rPr>
          <w:rStyle w:val="Hyperlink"/>
        </w:rPr>
        <w:instrText xml:space="preserve"> HYPERLINK "https://studfile.net/preview/7013044/page:2/" \l ":~:text=%D0%9B%D1%8E%D0%B1%D0%BE%D0%B9%20%D1%81%D0%BB%D0%BE%D0%B6%D0%BD%D1%8B%D0%B9%20%D0%BF%D0%B5%D1%80%D0%B8%D0%BE%D0%B4%D0%B8%D1%87%D0%B5%D1%81%D0%BA%D0%B8%D0%B9%20%D1%81%D0%B8%D0%B3%D0%BD%D0%B0%D0%BB%2C%20%D0%BA%D0%B0%D0%BA,%D0%B0%D0%BC%D0%BF%D0%BB%D0%B8%D1%82%D1%83%D0%B4%D0%B0%D1%85%20%D0%B8%20%D1%84%D0%B0%D0%B7%D0%B0%D1%85%20%D0%BE%D1%82%D0%B4%D0%B5%D0%BB%D1%8C%C2%AD%D0%BD%D1%8B%D1%85%20%D0%B3%D0%B0%D1%80%D0%BC%D0%BE%D0%BD%D0%B8%D0%BA"</w:instrText>
      </w:r>
      <w:r>
        <w:rPr>
          <w:rStyle w:val="Hyperlink"/>
        </w:rPr>
        <w:fldChar w:fldCharType="separate"/>
      </w:r>
      <w:r>
        <w:rPr>
          <w:rStyle w:val="Hyperlink"/>
        </w:rPr>
        <w:t>[1]</w:t>
      </w:r>
      <w:r>
        <w:rPr>
          <w:rStyle w:val="Hyperlink"/>
        </w:rPr>
        <w:fldChar w:fldCharType="end"/>
      </w:r>
      <w:r>
        <w:fldChar w:fldCharType="begin"/>
      </w:r>
      <w:r>
        <w:rPr>
          <w:rStyle w:val="Hyperlink"/>
        </w:rPr>
        <w:instrText xml:space="preserve"> HYPERLINK "https://siblec.ru/telekommunikatsii/vvedenie-v-spetsialnost/3-signaly-vidy-signalov-i-ikh-parametry" \l ":~:text=%D0%A2%D0%BE%D1%82%20%D1%84%D0%B0%D0%BA%D1%82%2C%20%D1%87%D1%82%D0%BE%20%D1%81%D0%B8%D0%B3%D0%BD%D0%B0%D0%BB%20%D0%BF%D1%80%D0%BE%D0%B8%D0%B7%D0%B2%D0%BE%D0%BB%D1%8C%D0%BD%D0%BE%D0%B9,%D1%81%D1%82%D1%80%D0%BE%D0%B3%D0%BE%20%D0%BE%D0%BF%D1%80%D0%B5%D0%B4%D0%B5%D0%BB%D0%B5%D0%BD%D0%BD%D1%8B%D0%BC%D0%B8%20%D1%87%D0%B0%D1%81%D1%82%D0%BE%D1%82%D0%B0%D0%BC%D0%B8%20%D0%B8%20%D0%B0%D0%BC%D0%BF%D0%BB%D0%B8%D1%82%D1%83%D0%B4%D0%B0%D0%BC%D0%B8"</w:instrText>
      </w:r>
      <w:r>
        <w:rPr>
          <w:rStyle w:val="Hyperlink"/>
        </w:rPr>
        <w:fldChar w:fldCharType="separate"/>
      </w:r>
      <w:r>
        <w:rPr>
          <w:rStyle w:val="Hyperlink"/>
        </w:rPr>
        <w:t>[5]</w:t>
      </w:r>
      <w:r>
        <w:rPr>
          <w:rStyle w:val="Hyperlink"/>
        </w:rPr>
        <w:fldChar w:fldCharType="end"/>
      </w:r>
      <w:r>
        <w:rPr/>
        <w:t>. Это ключевое свойство периодических сигналов: дискретный (линейчатый) спектр с отдельными гармониками, амплитуды которых описывают форму сигнала.</w:t>
      </w:r>
    </w:p>
    <w:p>
      <w:pPr>
        <w:pStyle w:val="BodyText"/>
        <w:rPr/>
      </w:pPr>
      <w:r>
        <w:rPr>
          <w:b/>
          <w:bCs/>
        </w:rPr>
        <w:t>Значимость:</w:t>
      </w:r>
      <w:r>
        <w:rPr/>
        <w:t xml:space="preserve"> Периодические сигналы </w:t>
      </w:r>
      <w:r>
        <w:rPr>
          <w:b w:val="false"/>
          <w:bCs w:val="false"/>
        </w:rPr>
        <w:t>являются фундаментальной основой практически всех электро</w:t>
        <w:softHyphen/>
        <w:t>техническ</w:t>
      </w:r>
      <w:r>
        <w:rPr/>
        <w:t>их систем. Они служат несущими для передачи информации, опорными сигналами синхронизации, тестовыми сигналами для калибровки приборов и т.д. Например, в радиосвязи и телекоммуникациях распространены синусоидальные несущие (для модуляции данных) и прямоугольные тактовые сигналы; в радиолокации – периодические импульсы или ЧМ/ФМ-модулированные посылки; в медицине – периодические биологические сигналы (ЭКГ, ЭЭГ) несут информацию о состоянии органов; в промышленной электронике – опорные частоты тактовых генераторов, ШИМ-сигналы управления двигателями и источниками питания; в приборах контроля – эталонные формы сигналов (синусоидальные, пилы, комплексы гармоник) для калибровки и тестирования датчиков и схем. Таким образом, возможности надежного измерения амплитуды, частоты и формы периодических сигналов критически важны дл</w:t>
      </w:r>
      <w:r>
        <w:rPr>
          <w:b w:val="false"/>
          <w:bCs w:val="false"/>
        </w:rPr>
        <w:t>я систем связи, радиолокации, измерительной техники, медицинской аппаратуры и промышленного оборудования.</w:t>
      </w:r>
      <w:r>
        <w:rPr/>
        <w:t xml:space="preserve"> Например, в системах 5G/6G требуются сверхчистые (низкошу</w:t>
        <w:softHyphen/>
        <w:t>мовы) несущие сигналы с высокой стабильностью и точностью</w:t>
      </w:r>
      <w:r>
        <w:fldChar w:fldCharType="begin"/>
      </w:r>
      <w:r>
        <w:rPr>
          <w:rStyle w:val="Hyperlink"/>
        </w:rPr>
        <w:instrText xml:space="preserve"> HYPERLINK "https://kampus.ai/referat/generator-periodiceskix-signalov-130297/" \l ":~:text=%D0%90%D0%BA%D1%82%D1%83%D0%B0%D0%BB%D1%8C%D0%BD%D0%BE%D1%81%D1%82%D1%8C%20%D1%82%D0%B5%D0%BC%D1%8B%20%D0%BE%D0%B1%D1%83%D1%81%D0%BB%D0%BE%D0%B2%D0%BB%D0%B5%D0%BD%D0%B0%20%D1%84%D1%83%D0%BD%D0%B4%D0%B0%D0%BC%D0%B5%D0%BD%D1%82%D0%B0%D0%BB%D1%8C%D0%BD%D0%BE%D0%B9%20%D1%80%D0%BE%D0%BB%D1%8C%D1%8E,%D0%A6%D0%B8%D1%84%D1%80%D0%BE%D0%B2%D0%B0%D1%8F%20%D1%81%D1%85%D0%B5%D0%BC%D0%BE%D1%82%D0%B5%D1%85%D0%BD%D0%B8%D0%BA%D0%B0%20%D0%B8"</w:instrText>
      </w:r>
      <w:r>
        <w:rPr>
          <w:rStyle w:val="Hyperlink"/>
        </w:rPr>
        <w:fldChar w:fldCharType="separate"/>
      </w:r>
      <w:r>
        <w:rPr>
          <w:rStyle w:val="Hyperlink"/>
        </w:rPr>
        <w:t>[6]</w:t>
      </w:r>
      <w:r>
        <w:rPr>
          <w:rStyle w:val="Hyperlink"/>
        </w:rPr>
        <w:fldChar w:fldCharType="end"/>
      </w:r>
      <w:r>
        <w:rPr/>
        <w:t>, а в измерительной технике (осциллографах, анализаторах спектра) – эталонные сигнализаторы для проверки аппаратуры. Эффективное определение параметров периодических сигналов позволяет диагностировать неисправности (анализ гармоник, фазового шума и импульсных искажений указывает на проблемы аппаратуры), оптимизировать работу систем связи (устойчивость к помехам определяется характеристиками несущих) и обеспечить точность управления (правильный такт синхронных схем).</w:t>
      </w:r>
    </w:p>
    <w:p>
      <w:pPr>
        <w:pStyle w:val="BodyText"/>
        <w:rPr/>
      </w:pPr>
      <w:r>
        <w:rPr/>
      </w:r>
    </w:p>
    <w:p>
      <w:pPr>
        <w:pStyle w:val="Heading2"/>
        <w:rPr/>
      </w:pPr>
      <w:bookmarkStart w:id="3" w:name="__RefHeading___Toc2157_1929968905"/>
      <w:bookmarkEnd w:id="3"/>
      <w:r>
        <w:rPr/>
        <w:t>1.2 Области применения и практическая значимость</w:t>
      </w:r>
    </w:p>
    <w:p>
      <w:pPr>
        <w:pStyle w:val="BodyText"/>
        <w:rPr/>
      </w:pPr>
      <w:r>
        <w:rPr>
          <w:b/>
          <w:bCs/>
        </w:rPr>
        <w:t>Телекоммуникации:</w:t>
      </w:r>
      <w:r>
        <w:rPr/>
        <w:t xml:space="preserve"> При передаче цифровых и аналоговых данных основную роль играют периодические колебания – синусоидальные несущие (РЧ и оптические) с точной частотой и амплитудой</w:t>
      </w:r>
      <w:r>
        <w:fldChar w:fldCharType="begin"/>
      </w:r>
      <w:r>
        <w:rPr>
          <w:rStyle w:val="Hyperlink"/>
        </w:rPr>
        <w:instrText xml:space="preserve"> HYPERLINK "https://kampus.ai/referat/generator-periodiceskix-signalov-130297/" \l ":~:text=%D0%90%D0%BA%D1%82%D1%83%D0%B0%D0%BB%D1%8C%D0%BD%D0%BE%D1%81%D1%82%D1%8C%20%D1%82%D0%B5%D0%BC%D1%8B%20%D0%BE%D0%B1%D1%83%D1%81%D0%BB%D0%BE%D0%B2%D0%BB%D0%B5%D0%BD%D0%B0%20%D1%84%D1%83%D0%BD%D0%B4%D0%B0%D0%BC%D0%B5%D0%BD%D1%82%D0%B0%D0%BB%D1%8C%D0%BD%D0%BE%D0%B9%20%D1%80%D0%BE%D0%BB%D1%8C%D1%8E,%D0%A6%D0%B8%D1%84%D1%80%D0%BE%D0%B2%D0%B0%D1%8F%20%D1%81%D1%85%D0%B5%D0%BC%D0%BE%D1%82%D0%B5%D1%85%D0%BD%D0%B8%D0%BA%D0%B0%20%D0%B8"</w:instrText>
      </w:r>
      <w:r>
        <w:rPr>
          <w:rStyle w:val="Hyperlink"/>
        </w:rPr>
        <w:fldChar w:fldCharType="separate"/>
      </w:r>
      <w:r>
        <w:rPr>
          <w:rStyle w:val="Hyperlink"/>
        </w:rPr>
        <w:t>[6]</w:t>
      </w:r>
      <w:r>
        <w:rPr>
          <w:rStyle w:val="Hyperlink"/>
        </w:rPr>
        <w:fldChar w:fldCharType="end"/>
      </w:r>
      <w:r>
        <w:rPr/>
        <w:t>. Тайминговые сигналы (тактовые или синхросигналы) – прямоугольные волны – «сердце» цифровых каналов</w:t>
      </w:r>
      <w:r>
        <w:fldChar w:fldCharType="begin"/>
      </w:r>
      <w:r>
        <w:rPr>
          <w:rStyle w:val="Hyperlink"/>
        </w:rPr>
        <w:instrText xml:space="preserve"> HYPERLINK "https://kampus.ai/referat/generator-periodiceskix-signalov-130297/" \l ":~:text=%D0%90%D0%BA%D1%82%D1%83%D0%B0%D0%BB%D1%8C%D0%BD%D0%BE%D1%81%D1%82%D1%8C%20%D1%82%D0%B5%D0%BC%D1%8B%20%D0%BE%D0%B1%D1%83%D1%81%D0%BB%D0%BE%D0%B2%D0%BB%D0%B5%D0%BD%D0%B0%20%D1%84%D1%83%D0%BD%D0%B4%D0%B0%D0%BC%D0%B5%D0%BD%D1%82%D0%B0%D0%BB%D1%8C%D0%BD%D0%BE%D0%B9%20%D1%80%D0%BE%D0%BB%D1%8C%D1%8E,%D0%A6%D0%B8%D1%84%D1%80%D0%BE%D0%B2%D0%B0%D1%8F%20%D1%81%D1%85%D0%B5%D0%BC%D0%BE%D1%82%D0%B5%D1%85%D0%BD%D0%B8%D0%BA%D0%B0%20%D0%B8"</w:instrText>
      </w:r>
      <w:r>
        <w:rPr>
          <w:rStyle w:val="Hyperlink"/>
        </w:rPr>
        <w:fldChar w:fldCharType="separate"/>
      </w:r>
      <w:r>
        <w:rPr>
          <w:rStyle w:val="Hyperlink"/>
        </w:rPr>
        <w:t>[6]</w:t>
      </w:r>
      <w:r>
        <w:rPr>
          <w:rStyle w:val="Hyperlink"/>
        </w:rPr>
        <w:fldChar w:fldCharType="end"/>
      </w:r>
      <w:r>
        <w:rPr/>
        <w:t>. Измерители параметров таких сигналов применяются в радио и оптике (проверка качества несущей, уровня модуляции, помехоустойчивости каналов).</w:t>
      </w:r>
    </w:p>
    <w:p>
      <w:pPr>
        <w:pStyle w:val="BodyText"/>
        <w:rPr/>
      </w:pPr>
      <w:r>
        <w:rPr>
          <w:b/>
          <w:bCs/>
        </w:rPr>
        <w:t>Радиолокация и радионавигация:</w:t>
      </w:r>
      <w:r>
        <w:rPr/>
        <w:t xml:space="preserve"> Зондирующие сигналы РЛС обычно представляют собой короткие импульсы или ЧМ/ФМ-посылки с точно заданной повторяющейся структурой. Измерение их амплитуды и периода важно для оценки дальности и скорости целей. В системах доплеровской обработки изменения частоты периодической несущей дают информацию о движении объекта</w:t>
      </w:r>
      <w:r>
        <w:fldChar w:fldCharType="begin"/>
      </w:r>
      <w:r>
        <w:rPr>
          <w:rStyle w:val="Hyperlink"/>
        </w:rPr>
        <w:instrText xml:space="preserve"> HYPERLINK "https://patents.google.com/patent/RU2183839C1/ru" \l ":~:text=%D0%97%D0%B0%D0%B4%D0%B0%D1%87%D0%B0%20%D0%B8%D0%B7%D0%BC%D0%B5%D1%80%D0%B5%D0%BD%D0%B8%D1%8F%20%D1%87%D0%B0%D1%81%D1%82%D0%BE%D1%82%D1%8B%20%D1%81%D0%B8%D0%BD%D1%83%D1%81%D0%BE%D0%B8%D0%B4%D0%B0%D0%BB%D1%8C%D0%BD%D1%8B%D1%85%20%D1%81%D0%B8%D0%B3%D0%BD%D0%B0%D0%BB%D0%BE%D0%B2,3"</w:instrText>
      </w:r>
      <w:r>
        <w:rPr>
          <w:rStyle w:val="Hyperlink"/>
        </w:rPr>
        <w:fldChar w:fldCharType="separate"/>
      </w:r>
      <w:r>
        <w:rPr>
          <w:rStyle w:val="Hyperlink"/>
        </w:rPr>
        <w:t>[7]</w:t>
      </w:r>
      <w:r>
        <w:rPr>
          <w:rStyle w:val="Hyperlink"/>
        </w:rPr>
        <w:fldChar w:fldCharType="end"/>
      </w:r>
      <w:r>
        <w:rPr/>
        <w:t>. Надежная оценка частоты/фазы сигналов обеспечивает высокую точность позиционирования в навигации.</w:t>
      </w:r>
    </w:p>
    <w:p>
      <w:pPr>
        <w:pStyle w:val="BodyText"/>
        <w:rPr/>
      </w:pPr>
      <w:r>
        <w:rPr>
          <w:b/>
          <w:bCs/>
        </w:rPr>
        <w:t>Медицина и биосигналы:</w:t>
      </w:r>
      <w:r>
        <w:rPr/>
        <w:t xml:space="preserve"> Электрокардиограмма (ЭКГ), электроэнцефалограмма (ЭЭГ) и другие биоэлектрические сигналы имеют периодический характер или содержат периодические компоненты (например, сердечные сокращения). Устройства для сбора и анализа таких сигналов используют измерители частоты и амплитуды (анализ пиков QRS, синхронизация на кардиоток) для диагностики. Пульсоксиметры, аппараты УЗИ и др. также генерируют и анализируют колебания.</w:t>
      </w:r>
    </w:p>
    <w:p>
      <w:pPr>
        <w:pStyle w:val="BodyText"/>
        <w:rPr/>
      </w:pPr>
      <w:r>
        <w:rPr>
          <w:b/>
          <w:bCs/>
        </w:rPr>
        <w:t>Промышленное управление и автоматика:</w:t>
      </w:r>
      <w:r>
        <w:rPr/>
        <w:t xml:space="preserve"> В системах управления двигателями и электропитанием широко применяются ШИМ и другие периодические сигналы для регулирования мощности. Измерители параметров сигналов помогают калибровать датчики тока/напряжения и контролировать качество сетей. Промышленные тестовые стенды (например, испытательные стенды микросхем) анализируют сигналы от испытуемых микросхем.</w:t>
      </w:r>
    </w:p>
    <w:p>
      <w:pPr>
        <w:pStyle w:val="BodyText"/>
        <w:rPr/>
      </w:pPr>
      <w:r>
        <w:rPr>
          <w:b/>
          <w:bCs/>
        </w:rPr>
        <w:t>Контрольно-измерительная аппаратура:</w:t>
      </w:r>
      <w:r>
        <w:rPr/>
        <w:t xml:space="preserve"> Осциллографы, анализаторы спектра, частотомеры сами выступают в роли измерителей параметров сигналов. Они оперируют реальными периодическими сигналами и помехами и проверяют их параметры. Отсутствие специализированных приборов (кроме универсальных осциллографов, например, Tektronix TDS7404B </w:t>
      </w:r>
      <w:r>
        <w:fldChar w:fldCharType="begin"/>
      </w:r>
      <w:r>
        <w:rPr>
          <w:rStyle w:val="Hyperlink"/>
        </w:rPr>
        <w:instrText xml:space="preserve"> HYPERLINK "https://uwbs.ru/development/example-measurements/" \l ":~:text=%D0%92%20%D0%BA%D0%B0%D1%87%D0%B5%D1%81%D1%82%D0%B2%D0%B5%20%D0%B8%D0%B7%D0%BC%D0%B5%D1%80%D0%B8%D1%82%D0%B5%D0%BB%D1%8F%20%D0%BF%D0%B0%D1%80%D0%B0%D0%BC%D0%B5%D1%82%D1%80%D0%BE%D0%B2%20%D1%81%D0%B8%D0%B3%D0%BD%D0%B0%D0%BB%D0%BE%D0%B2,%D0%BF%D0%BE%D0%B7%D0%B2%D0%BE%D0%BB%D1%8F%D0%B5%D1%82%20%D1%80%D0%B5%D0%B3%D0%B8%D1%81%D1%82%D1%80%D0%B8%D1%80%D0%BE%D0%B2%D0%B0%D1%82%D1%8C%20%D0%B8%D0%BC%D0%BF%D1%83%D0%BB%D1%8C%D1%81%D0%BD%D1%8B%D0%B5%20%D0%BE%D0%B4%D0%B8%D0%BD%D0%BE%D1%87%D0%BD%D1%8B%D0%B5%20%D1%81%D0%B8%D0%B3%D0%BD%D0%B0%D0%BB%D1%8B"</w:instrText>
      </w:r>
      <w:r>
        <w:rPr>
          <w:rStyle w:val="Hyperlink"/>
        </w:rPr>
        <w:fldChar w:fldCharType="separate"/>
      </w:r>
      <w:r>
        <w:rPr>
          <w:rStyle w:val="Hyperlink"/>
        </w:rPr>
        <w:t>[2]</w:t>
      </w:r>
      <w:r>
        <w:rPr>
          <w:rStyle w:val="Hyperlink"/>
        </w:rPr>
        <w:fldChar w:fldCharType="end"/>
      </w:r>
      <w:r>
        <w:rPr/>
        <w:t>) делает актуальной разработку компактных цифровых измерителей параметров сигнала.</w:t>
      </w:r>
    </w:p>
    <w:p>
      <w:pPr>
        <w:pStyle w:val="BodyText"/>
        <w:rPr/>
      </w:pPr>
      <w:r>
        <w:rPr/>
      </w:r>
    </w:p>
    <w:p>
      <w:pPr>
        <w:pStyle w:val="Heading2"/>
        <w:rPr/>
      </w:pPr>
      <w:bookmarkStart w:id="4" w:name="__RefHeading___Toc2159_1929968905"/>
      <w:bookmarkEnd w:id="4"/>
      <w:r>
        <w:rPr/>
        <w:t>1.3 Виды помех и их влияние на измерения</w:t>
      </w:r>
    </w:p>
    <w:p>
      <w:pPr>
        <w:pStyle w:val="BodyText"/>
        <w:rPr/>
      </w:pPr>
      <w:r>
        <w:rPr/>
        <w:t>Периодические сигналы в реальной обстановке искажаются множеством помех и шумов. Основные виды:</w:t>
      </w:r>
    </w:p>
    <w:p>
      <w:pPr>
        <w:pStyle w:val="BodyText"/>
        <w:rPr/>
      </w:pPr>
      <w:r>
        <w:rPr>
          <w:b/>
          <w:bCs/>
        </w:rPr>
        <w:t>Тепловой шум (джонсоновский):</w:t>
      </w:r>
      <w:r>
        <w:rPr/>
        <w:t xml:space="preserve"> Широкополосный шум, генерируемый тепловым движением электронов в резисторах и полупроводниках. Его спектральная плотность постоянна (белый шум). Он повышает фоновый уровень сигнала, снижая отношение сигнал/шум (SNR). Влияние: для измерения амплитуды шум вносит случайную погрешность, пропорциональную RMS-значению шума; для частоты – генерирует разброс синхронизации (тактовых импульсов), что уменьшает точность определения периода. При низком SNR резкость гистограммной оценки амплитуды падает, а дисперсия измеренных периодов растет. При SNR около 0 дБ погрешность частоты может достигать нескольких процентов (зависит от алгоритма измерения).</w:t>
      </w:r>
    </w:p>
    <w:p>
      <w:pPr>
        <w:pStyle w:val="BodyText"/>
        <w:rPr/>
      </w:pPr>
      <w:r>
        <w:rPr>
          <w:b/>
          <w:bCs/>
        </w:rPr>
        <w:t>Фазовый шум и джиттер:</w:t>
      </w:r>
      <w:r>
        <w:rPr/>
        <w:t xml:space="preserve"> Кратковременные флуктуации фазы или времени периодического сигнала. Вызываются нестабильностью генератора, шумом в усилителях, квантованием АЦП и др. </w:t>
      </w:r>
      <w:r>
        <w:fldChar w:fldCharType="begin"/>
      </w:r>
      <w:r>
        <w:rPr>
          <w:rStyle w:val="Hyperlink"/>
        </w:rPr>
        <w:instrText xml:space="preserve"> HYPERLINK "https://srns.ru/images/c/ce/20140623_%D0%A1%D0%B5%D1%80%D0%B3%D0%B5%D0%B5%D0%B2_%D0%9D.%D0%98.%D0%B1%D0%B0%D0%BA%D0%B0%D0%BB%D0%B0%D0%B2%D1%80%D1%81%D0%BA%D0%B0%D1%8F_%D1%80%D0%B0%D0%B1%D0%BE%D1%82%D0%B0.pdf" \l ":~:text=%D0%A4%D0%B0%D0%B7%D0%BE%D0%B2%D1%8B%D0%B5%20%D1%88%D1%83%D0%BC%D1%8B%20%E2%80%93%20%D1%85%D0%B0%D1%80%D0%B0%D0%BA%D1%82%D0%B5%D1%80%D0%B8%D1%81%D1%82%D0%B8%D0%BA%D0%B0%20%D0%B4%D0%BB%D1%8F,%D0%BF%D0%BB%D0%BE%D1%82%D0%BD%D0%BE%D1%81%D1%82%D1%8C%20%D0%BC%D0%BE%D1%89%D0%BD%D0%BE%D1%81%D1%82%D0%B8%20%D1%81%D0%BB%D1%83%D1%87%D0%B0%D0%B9%D0%BD%D1%8B%D1%85%20%D0%BE%D1%82%D0%BA%D0%BB%D0%BE%D0%BD%D0%B5%D0%BD%D0%B8%D0%B9%20%D1%84%D0%B0%D0%B7%D1%8B"</w:instrText>
      </w:r>
      <w:r>
        <w:rPr>
          <w:rStyle w:val="Hyperlink"/>
        </w:rPr>
        <w:fldChar w:fldCharType="separate"/>
      </w:r>
      <w:r>
        <w:rPr>
          <w:rStyle w:val="Hyperlink"/>
        </w:rPr>
        <w:t>[8]</w:t>
      </w:r>
      <w:r>
        <w:rPr>
          <w:rStyle w:val="Hyperlink"/>
        </w:rPr>
        <w:fldChar w:fldCharType="end"/>
      </w:r>
      <w:r>
        <w:rPr/>
        <w:t>. Фазовый шум приводит к расширению спектральной линии сигнала и нелинейному изменению частоты во времени; джиттер (колебания фронтов) создает дисперсию замера периода. Фазовый шум часто измеряют в дБ/Hz и учитывают при проектировании ФАПЧ; большой джиттер ограничивает разрешающую способность частотомеров. Например, даже при хорошей среде измерения малейшие флуктуации «времени прихода» фронта (десятки пс) дают миллисекундный разброс при частоте в кГц.</w:t>
      </w:r>
    </w:p>
    <w:p>
      <w:pPr>
        <w:pStyle w:val="BodyText"/>
        <w:rPr/>
      </w:pPr>
      <w:r>
        <w:rPr>
          <w:b/>
          <w:bCs/>
        </w:rPr>
        <w:t>Импульсные помехи:</w:t>
      </w:r>
      <w:r>
        <w:rPr/>
        <w:t xml:space="preserve"> Кратковременные высокоамплитудные выбросы (например, от коммутационных переходов, грозовых разрядов)</w:t>
      </w:r>
      <w:r>
        <w:fldChar w:fldCharType="begin"/>
      </w:r>
      <w:r>
        <w:rPr>
          <w:rStyle w:val="Hyperlink"/>
        </w:rPr>
        <w:instrText xml:space="preserve"> HYPERLINK "https://studfile.net/preview/7190937/page:26/" \l ":~:text=%D0%9A%D1%80%D0%BE%D0%BC%D0%B5%20%D1%84%D0%BB%D1%83%D0%BA%D1%82%D1%83%D0%B0%D1%86%D0%B8%D0%BE%D0%BD%D0%BD%D1%8B%D1%85%20%D0%B8%20%D1%81%D0%BE%D1%81%D1%80%D0%B5%D0%B4%D0%BE%D1%82%D0%BE%D1%87%D0%B5%D0%BD%D0%BD%D1%8B%D1%85%20%D0%BF%D0%BE,%D0%B0%20%D1%82%D0%B0%D0%BA%D0%B6%D0%B5%20%D1%81%D0%BF%D0%B5%D1%86%D0%B8%D0%B0%D0%BB%D1%8C%D0%BD%D1%8B%D0%BC%D0%B8%20%D0%B8%D0%BC%D0%BF%D1%83%D0%BB%D1%8C%D1%81%D0%BD%D1%8B%D0%BC%D0%B8%20%D0%B3%D0%B5%D0%BD%D0%B5%D1%80%D0%B0%D1%82%D0%BE%D1%80%D0%B0%D0%BC%D0%B8"</w:instrText>
      </w:r>
      <w:r>
        <w:rPr>
          <w:rStyle w:val="Hyperlink"/>
        </w:rPr>
        <w:fldChar w:fldCharType="separate"/>
      </w:r>
      <w:r>
        <w:rPr>
          <w:rStyle w:val="Hyperlink"/>
        </w:rPr>
        <w:t>[9]</w:t>
      </w:r>
      <w:r>
        <w:rPr>
          <w:rStyle w:val="Hyperlink"/>
        </w:rPr>
        <w:fldChar w:fldCharType="end"/>
      </w:r>
      <w:r>
        <w:rPr/>
        <w:t>. Они составляют узкополосную или широкополосную помеху с большим пиковым значением. При приеме такие выбросы порой полностью «забивают» сигнал на время импульса. Методы борьбы (фильтрация, амплитудное ограничение) смещают уровень усиления, но меряют их нелинейность. Для нашего измерителя импульсная помеха может давать ложный пик в гистограмме амплитуд или сбивать определение начала/конца периода. Устройство должно фильтровать такие помехи.</w:t>
      </w:r>
    </w:p>
    <w:p>
      <w:pPr>
        <w:pStyle w:val="BodyText"/>
        <w:rPr/>
      </w:pPr>
      <w:r>
        <w:rPr>
          <w:b/>
          <w:bCs/>
        </w:rPr>
        <w:t>Электромагнитные помехи (ЭМИ):</w:t>
      </w:r>
      <w:r>
        <w:rPr/>
        <w:t xml:space="preserve"> Узкополосные сигналы от другого оборудования (помехи бытовой сети, радиопередатчики и т.п.) накладываются на исходный сигнал. Они создают периодические или близкие к периодическим добавочные колебания. В спектре ЭМИ проявляются как дополнительные линии или спайки. На измерения: узкополосные помехи искажают форму гистограммы (появляются побочные пики), добавляют шум в амплитудный анализ. Например, помеха 50 Гц часто влияет на измерения низкочастотных сигналов, а радиочастотная помеха – на ВЧ.</w:t>
      </w:r>
    </w:p>
    <w:p>
      <w:pPr>
        <w:pStyle w:val="BodyText"/>
        <w:rPr/>
      </w:pPr>
      <w:r>
        <w:rPr>
          <w:b/>
          <w:bCs/>
        </w:rPr>
        <w:t>Другие шумы (слипания, дробовой шум, 1/f-шум и т.д.):</w:t>
      </w:r>
      <w:r>
        <w:rPr/>
        <w:t xml:space="preserve"> Реже влияют напрямую, но могут рассыпать оценку амплитуды на больших частотах и малых сигналах. Их эффекты проявляются при малых амплитудах (дробовой шум при малом токе) или в области низких частот (фликкер шум).</w:t>
      </w:r>
    </w:p>
    <w:p>
      <w:pPr>
        <w:pStyle w:val="BodyText"/>
        <w:rPr/>
      </w:pPr>
      <w:r>
        <w:rPr/>
        <w:t>Как итог, влияние помех приводит к снижению точности измерения амплитуды и частоты. Обычно оценку качества делают через отношение SNR и статистические погрешности. Важен выбор метода измерения с хорошей помехоустойчивостью или последующей цифровой фильтрацией.</w:t>
      </w:r>
    </w:p>
    <w:p>
      <w:pPr>
        <w:pStyle w:val="BodyText"/>
        <w:rPr/>
      </w:pPr>
      <w:r>
        <w:rPr/>
      </w:r>
    </w:p>
    <w:p>
      <w:pPr>
        <w:pStyle w:val="Heading2"/>
        <w:rPr/>
      </w:pPr>
      <w:bookmarkStart w:id="5" w:name="__RefHeading___Toc2161_1929968905"/>
      <w:bookmarkStart w:id="6" w:name="критерии-и-метрики-сравнения-методов"/>
      <w:bookmarkEnd w:id="5"/>
      <w:r>
        <w:rPr/>
        <w:t>Критерии и метрики сравнения методов</w:t>
      </w:r>
    </w:p>
    <w:p>
      <w:pPr>
        <w:pStyle w:val="BodyText"/>
        <w:rPr/>
      </w:pPr>
      <w:r>
        <w:rPr/>
        <w:t>Для объективной оценки методов введем следующие критерии:</w:t>
      </w:r>
    </w:p>
    <w:p>
      <w:pPr>
        <w:pStyle w:val="BodyText"/>
        <w:rPr/>
      </w:pPr>
      <w:r>
        <w:rPr>
          <w:b/>
          <w:bCs/>
        </w:rPr>
        <w:t>- Сложность разработки:</w:t>
      </w:r>
      <w:r>
        <w:rPr/>
        <w:t xml:space="preserve"> количество трудозатрат для реализации устройства, выражается в виде человеко-часов и необходимых компетенций для реализации как аппаратной части устройства, так и программной;</w:t>
      </w:r>
    </w:p>
    <w:p>
      <w:pPr>
        <w:pStyle w:val="BodyText"/>
        <w:rPr/>
      </w:pPr>
      <w:r>
        <w:rPr>
          <w:b/>
          <w:bCs/>
        </w:rPr>
        <w:t>- Стоимость компонентов:</w:t>
      </w:r>
      <w:r>
        <w:rPr/>
        <w:t xml:space="preserve"> цена всех комплектующих, за исключением печатных плат и базовых компонентов (резисторы, конденсаторы, керамические резонаторы и прочие компоненты с пренебрежительно маленькой стоимостью) (народное – «рассыпуха»);</w:t>
      </w:r>
    </w:p>
    <w:p>
      <w:pPr>
        <w:pStyle w:val="BodyText"/>
        <w:rPr/>
      </w:pPr>
      <w:r>
        <w:rPr>
          <w:b/>
          <w:bCs/>
        </w:rPr>
        <w:t>- Возможности обработки:</w:t>
      </w:r>
      <w:r>
        <w:rPr/>
        <w:t xml:space="preserve"> какие параметры сигнала можно измерить (амплитуда, частота, фаза, форма), доступность модификации алгоритмов;</w:t>
      </w:r>
    </w:p>
    <w:p>
      <w:pPr>
        <w:pStyle w:val="BodyText"/>
        <w:rPr/>
      </w:pPr>
      <w:r>
        <w:rPr>
          <w:b/>
          <w:bCs/>
        </w:rPr>
        <w:t>- Точность и разрешающая способность при шуме:</w:t>
      </w:r>
      <w:r>
        <w:rPr/>
        <w:t xml:space="preserve"> погрешность измерения амплитуды/частоты при заданном уровне шума (SNR);</w:t>
      </w:r>
    </w:p>
    <w:p>
      <w:pPr>
        <w:pStyle w:val="BodyText"/>
        <w:rPr/>
      </w:pPr>
      <w:r>
        <w:rPr>
          <w:b/>
          <w:bCs/>
        </w:rPr>
        <w:t>- Время реакции:</w:t>
      </w:r>
      <w:r>
        <w:rPr/>
        <w:t xml:space="preserve"> задержка системы и скорость измерений (важно для динамических сигналов);</w:t>
      </w:r>
      <w:bookmarkEnd w:id="6"/>
    </w:p>
    <w:p>
      <w:pPr>
        <w:pStyle w:val="BodyText"/>
        <w:rPr>
          <w:lang w:val="ru-RU" w:eastAsia="en-US"/>
        </w:rPr>
      </w:pPr>
      <w:r>
        <w:rPr>
          <w:lang w:val="ru-RU" w:eastAsia="en-US"/>
        </w:rPr>
      </w:r>
    </w:p>
    <w:p>
      <w:pPr>
        <w:pStyle w:val="Heading2"/>
        <w:rPr/>
      </w:pPr>
      <w:bookmarkStart w:id="7" w:name="__RefHeading___Toc2163_1929968905"/>
      <w:bookmarkEnd w:id="7"/>
      <w:r>
        <w:rPr/>
        <w:t>Существующие подходы к измерению параметров сигналов</w:t>
      </w:r>
    </w:p>
    <w:p>
      <w:pPr>
        <w:pStyle w:val="BodyText"/>
        <w:rPr>
          <w:lang w:val="en-US"/>
        </w:rPr>
      </w:pPr>
      <w:r>
        <w:rPr/>
        <w:t>Самый простой метод измерения параметров – аналоговый. Метод подразумевает специализированную аналоговую схему, которая будет решать одну единственную задачу без возможности изменения алгоритма решения задачи без изменения электрической схемы. Рассмотрим основные подходы</w:t>
      </w:r>
      <w:r>
        <w:rPr>
          <w:lang w:val="en-US"/>
        </w:rPr>
        <w:t>:</w:t>
      </w:r>
    </w:p>
    <w:p>
      <w:pPr>
        <w:pStyle w:val="BodyText"/>
        <w:rPr/>
      </w:pPr>
      <w:bookmarkStart w:id="8" w:name="аналоговые-методы"/>
      <w:r>
        <w:rPr>
          <w:b/>
          <w:bCs/>
        </w:rPr>
        <w:t>Компараторы и пороговые детекторы</w:t>
      </w:r>
      <w:r>
        <w:rPr/>
        <w:t xml:space="preserve"> преобразуют входной сигнал в цифровую последовательность импульсов (сигнализации фронтов). Просты по реализации (цена – дешевые ОУ или компараторы), но чувствительны к уровню смещения и шуму (каждый фронт может «дребезжать» из-за шипов). Требуют дополнительной схемы стабилизации порога. </w:t>
      </w:r>
      <w:r>
        <w:rPr>
          <w:b/>
          <w:bCs/>
        </w:rPr>
        <w:t>Плюс:</w:t>
      </w:r>
      <w:r>
        <w:rPr/>
        <w:t xml:space="preserve"> просты, работают в реальном времени, не требуют АЦП и ЦП. </w:t>
      </w:r>
      <w:r>
        <w:rPr>
          <w:b/>
          <w:bCs/>
        </w:rPr>
        <w:t>Минус:</w:t>
      </w:r>
      <w:r>
        <w:rPr/>
        <w:t xml:space="preserve"> низкая гибкость: алгоритм детектирования фиксирован (обычно срабатывание по одному порогу или Шор-схема), трудно обрабатывать форму. Подход хорош для цифровых частотомеров и простых измерителей амплитуды, но с низкой точностью при шуме</w:t>
      </w:r>
      <w:r>
        <w:fldChar w:fldCharType="begin"/>
      </w:r>
      <w:r>
        <w:rPr>
          <w:rStyle w:val="Hyperlink"/>
        </w:rPr>
        <w:instrText xml:space="preserve"> HYPERLINK "https://studfile.net/preview/10417297/page:8/" \l ":~:text=%D0%A4%D0%BE%D1%80%D0%BC%D0%B8%D1%80%D1%83%D1%8E%D1%89%D0%B5%D0%B5%20%D1%83%D1%81%D1%82%D1%80%D0%BE%D0%B9%D1%81%D1%82%D0%B2%D0%BE%20,%D1%82%D0%B5%D0%BC%20%D0%B6%D0%B5%20%D0%BF%D0%B5%D1%80%D0%B8%D0%BE%D0%B4%D0%BE%D0%BC%20%D1%81%D0%BB%D0%B5%D0%B4%D0%BE%D0%B2%D0%B0%D0%BD%D0%B8%D1%8F%20%D0%A2%D1%85"</w:instrText>
      </w:r>
      <w:r>
        <w:rPr>
          <w:rStyle w:val="Hyperlink"/>
        </w:rPr>
        <w:fldChar w:fldCharType="separate"/>
      </w:r>
      <w:r>
        <w:rPr>
          <w:rStyle w:val="Hyperlink"/>
        </w:rPr>
        <w:t>[10]</w:t>
      </w:r>
      <w:r>
        <w:rPr>
          <w:rStyle w:val="Hyperlink"/>
        </w:rPr>
        <w:fldChar w:fldCharType="end"/>
      </w:r>
      <w:r>
        <w:rPr/>
        <w:t>.</w:t>
      </w:r>
    </w:p>
    <w:p>
      <w:pPr>
        <w:pStyle w:val="BodyText"/>
        <w:rPr/>
      </w:pPr>
      <w:r>
        <w:rPr>
          <w:b/>
          <w:bCs/>
        </w:rPr>
        <w:t>Частотомеры (прямой счет):</w:t>
      </w:r>
      <w:r>
        <w:rPr/>
        <w:t xml:space="preserve"> Известный метод – считать число периодов исследуемого сигнала за фиксированный промежуток времени (метод прямого счета)</w:t>
      </w:r>
      <w:r>
        <w:fldChar w:fldCharType="begin"/>
      </w:r>
      <w:r>
        <w:rPr>
          <w:rStyle w:val="Hyperlink"/>
        </w:rPr>
        <w:instrText xml:space="preserve"> HYPERLINK "https://studfile.net/preview/10417297/page:8/" \l ":~:text=%D0%A4%D0%BE%D1%80%D0%BC%D0%B8%D1%80%D1%83%D1%8E%D1%89%D0%B5%D0%B5%20%D1%83%D1%81%D1%82%D1%80%D0%BE%D0%B9%D1%81%D1%82%D0%B2%D0%BE%20,%D1%82%D0%B5%D0%BC%20%D0%B6%D0%B5%20%D0%BF%D0%B5%D1%80%D0%B8%D0%BE%D0%B4%D0%BE%D0%BC%20%D1%81%D0%BB%D0%B5%D0%B4%D0%BE%D0%B2%D0%B0%D0%BD%D0%B8%D1%8F%20%D0%A2%D1%85"</w:instrText>
      </w:r>
      <w:r>
        <w:rPr>
          <w:rStyle w:val="Hyperlink"/>
        </w:rPr>
        <w:fldChar w:fldCharType="separate"/>
      </w:r>
      <w:r>
        <w:rPr>
          <w:rStyle w:val="Hyperlink"/>
        </w:rPr>
        <w:t>[10]</w:t>
      </w:r>
      <w:r>
        <w:rPr>
          <w:rStyle w:val="Hyperlink"/>
        </w:rPr>
        <w:fldChar w:fldCharType="end"/>
      </w:r>
      <w:r>
        <w:fldChar w:fldCharType="begin"/>
      </w:r>
      <w:r>
        <w:rPr>
          <w:rStyle w:val="Hyperlink"/>
        </w:rPr>
        <w:instrText xml:space="preserve"> HYPERLINK "https://studfile.net/preview/10417297/page:8/" \l ":~: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w:instrText>
      </w:r>
      <w:r>
        <w:rPr>
          <w:rStyle w:val="Hyperlink"/>
        </w:rPr>
        <w:fldChar w:fldCharType="separate"/>
      </w:r>
      <w:r>
        <w:rPr>
          <w:rStyle w:val="Hyperlink"/>
        </w:rPr>
        <w:t>[11]</w:t>
      </w:r>
      <w:r>
        <w:rPr>
          <w:rStyle w:val="Hyperlink"/>
        </w:rPr>
        <w:fldChar w:fldCharType="end"/>
      </w:r>
      <w:r>
        <w:rPr/>
        <w:t>. Схема типового цифрового частотомера (см. методичку) содержит входное согласующее устройство, формирователь импульсов и счетчик</w:t>
      </w:r>
      <w:r>
        <w:fldChar w:fldCharType="begin"/>
      </w:r>
      <w:r>
        <w:rPr>
          <w:rStyle w:val="Hyperlink"/>
        </w:rPr>
        <w:instrText xml:space="preserve"> HYPERLINK "https://studfile.net/preview/10417297/page:8/" \l ":~:text=%D0%A4%D0%BE%D1%80%D0%BC%D0%B8%D1%80%D1%83%D1%8E%D1%89%D0%B5%D0%B5%20%D1%83%D1%81%D1%82%D1%80%D0%BE%D0%B9%D1%81%D1%82%D0%B2%D0%BE%20,%D1%82%D0%B5%D0%BC%20%D0%B6%D0%B5%20%D0%BF%D0%B5%D1%80%D0%B8%D0%BE%D0%B4%D0%BE%D0%BC%20%D1%81%D0%BB%D0%B5%D0%B4%D0%BE%D0%B2%D0%B0%D0%BD%D0%B8%D1%8F%20%D0%A2%D1%85"</w:instrText>
      </w:r>
      <w:r>
        <w:rPr>
          <w:rStyle w:val="Hyperlink"/>
        </w:rPr>
        <w:fldChar w:fldCharType="separate"/>
      </w:r>
      <w:r>
        <w:rPr>
          <w:rStyle w:val="Hyperlink"/>
        </w:rPr>
        <w:t>[10]</w:t>
      </w:r>
      <w:r>
        <w:rPr>
          <w:rStyle w:val="Hyperlink"/>
        </w:rPr>
        <w:fldChar w:fldCharType="end"/>
      </w:r>
      <w:r>
        <w:fldChar w:fldCharType="begin"/>
      </w:r>
      <w:r>
        <w:rPr>
          <w:rStyle w:val="Hyperlink"/>
        </w:rPr>
        <w:instrText xml:space="preserve"> HYPERLINK "https://studfile.net/preview/10417297/page:8/" \l ":~: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w:instrText>
      </w:r>
      <w:r>
        <w:rPr>
          <w:rStyle w:val="Hyperlink"/>
        </w:rPr>
        <w:fldChar w:fldCharType="separate"/>
      </w:r>
      <w:r>
        <w:rPr>
          <w:rStyle w:val="Hyperlink"/>
        </w:rPr>
        <w:t>[11]</w:t>
      </w:r>
      <w:r>
        <w:rPr>
          <w:rStyle w:val="Hyperlink"/>
        </w:rPr>
        <w:fldChar w:fldCharType="end"/>
      </w:r>
      <w:r>
        <w:rPr/>
        <w:t>. Принцип прост: за время $T_{сч}$ подсчитывают $N$ полных периодов сигнала, после чего $f=N/T_{сч}$</w:t>
      </w:r>
      <w:r>
        <w:fldChar w:fldCharType="begin"/>
      </w:r>
      <w:r>
        <w:rPr>
          <w:rStyle w:val="Hyperlink"/>
        </w:rPr>
        <w:instrText xml:space="preserve"> HYPERLINK "https://studfile.net/preview/10417297/page:8/" \l ":~: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w:instrText>
      </w:r>
      <w:r>
        <w:rPr>
          <w:rStyle w:val="Hyperlink"/>
        </w:rPr>
        <w:fldChar w:fldCharType="separate"/>
      </w:r>
      <w:r>
        <w:rPr>
          <w:rStyle w:val="Hyperlink"/>
        </w:rPr>
        <w:t>[11]</w:t>
      </w:r>
      <w:r>
        <w:rPr>
          <w:rStyle w:val="Hyperlink"/>
        </w:rPr>
        <w:fldChar w:fldCharType="end"/>
      </w:r>
      <w:r>
        <w:rPr/>
        <w:t xml:space="preserve">. </w:t>
      </w:r>
      <w:r>
        <w:rPr>
          <w:b/>
          <w:bCs/>
        </w:rPr>
        <w:t>Плюс:</w:t>
      </w:r>
      <w:r>
        <w:rPr/>
        <w:t xml:space="preserve"> высокая точность при больших счетных интервалах, простота измерения синусоид. </w:t>
      </w:r>
      <w:r>
        <w:rPr>
          <w:b/>
          <w:bCs/>
        </w:rPr>
        <w:t>Минус:</w:t>
      </w:r>
      <w:r>
        <w:rPr/>
        <w:t xml:space="preserve"> нечувствителен к изменению формы (измеряет лишь частоту), низкая гибкость, чувствительность к помехам (один лишний/пропущенный импульс дает ошибку). Погрешность связана с ограничением разрядности счетчика (интервал времени) и нестабильностью базового генератора. Для очень высоких частот требуется дорогая электроника.</w:t>
      </w:r>
    </w:p>
    <w:p>
      <w:pPr>
        <w:pStyle w:val="BodyText"/>
        <w:rPr/>
      </w:pPr>
      <w:r>
        <w:rPr>
          <w:b/>
          <w:bCs/>
        </w:rPr>
        <w:t>Фазовая автоподстройка частоты (ФАПЧ):</w:t>
      </w:r>
      <w:r>
        <w:rPr/>
        <w:t xml:space="preserve"> Система PLL автоматически синхронизирует генератор-эталон с входным сигналом по фазе. По управляющему напряжению или счетчику импульсов ФАПЧ можно определить частоту входного сигнала. </w:t>
      </w:r>
      <w:r>
        <w:rPr>
          <w:b/>
          <w:bCs/>
        </w:rPr>
        <w:t>Плюс:</w:t>
      </w:r>
      <w:r>
        <w:rPr/>
        <w:t xml:space="preserve"> гладкий выход и автоматическая фильтрация высокочастотного шума. </w:t>
      </w:r>
      <w:r>
        <w:rPr>
          <w:b/>
          <w:bCs/>
        </w:rPr>
        <w:t>Минус:</w:t>
      </w:r>
      <w:r>
        <w:rPr/>
        <w:t xml:space="preserve"> относительно медленная реакция (настройка), сложность схемы (ФД, ФАПЧ-цепь, VCO), сложно измерить амплитуду или форму (обычно выход – только частота). Применим в радиотехнике для демодуляции, но для прямого измерения параметров сигнала в шуме дает лишь оценку частоты.</w:t>
      </w:r>
    </w:p>
    <w:p>
      <w:pPr>
        <w:pStyle w:val="BodyText"/>
        <w:rPr>
          <w:rFonts w:eastAsia="Times New Roman"/>
          <w:b/>
          <w:bCs/>
          <w:szCs w:val="26"/>
        </w:rPr>
      </w:pPr>
      <w:r>
        <w:rPr/>
        <w:t xml:space="preserve">Вместе с аналоговыми методами обработки сигнала, существуют так же </w:t>
      </w:r>
      <w:r>
        <w:rPr>
          <w:b/>
          <w:bCs/>
        </w:rPr>
        <w:t>цифровые методы</w:t>
      </w:r>
      <w:r>
        <w:rPr/>
        <w:t>. В основе таких методов лежит быстродействующий АЦП и цифровая схема обработки сигнала. Рассмотрим наиболее распространенные методы:</w:t>
      </w:r>
      <w:bookmarkEnd w:id="8"/>
    </w:p>
    <w:p>
      <w:pPr>
        <w:pStyle w:val="BodyText"/>
        <w:rPr/>
      </w:pPr>
      <w:r>
        <w:rPr>
          <w:b/>
          <w:bCs/>
        </w:rPr>
        <w:t>ADC + микроконтроллер:</w:t>
      </w:r>
      <w:r>
        <w:rPr/>
        <w:t xml:space="preserve"> Измеряемый сигнал оцифровывается на высокоскоростном АЦП и обрабатывается цифровыми алгоритмами. Возможные методы оценки:</w:t>
      </w:r>
    </w:p>
    <w:p>
      <w:pPr>
        <w:pStyle w:val="BodyText"/>
        <w:rPr/>
      </w:pPr>
      <w:r>
        <w:rPr>
          <w:i/>
          <w:iCs/>
        </w:rPr>
        <w:t>FFT (БПФ):</w:t>
      </w:r>
      <w:r>
        <w:rPr/>
        <w:t xml:space="preserve"> вычисление спектра для определения частоты/гармоник</w:t>
      </w:r>
      <w:r>
        <w:fldChar w:fldCharType="begin"/>
      </w:r>
      <w:r>
        <w:rPr>
          <w:rStyle w:val="Hyperlink"/>
        </w:rPr>
        <w:instrText xml:space="preserve"> HYPERLINK "https://studfile.net/preview/7013044/page:2/" \l ":~:text=%D0%9B%D1%8E%D0%B1%D0%BE%D0%B9%20%D1%81%D0%BB%D0%BE%D0%B6%D0%BD%D1%8B%D0%B9%20%D0%BF%D0%B5%D1%80%D0%B8%D0%BE%D0%B4%D0%B8%D1%87%D0%B5%D1%81%D0%BA%D0%B8%D0%B9%20%D1%81%D0%B8%D0%B3%D0%BD%D0%B0%D0%BB%2C%20%D0%BA%D0%B0%D0%BA,%D0%B0%D0%BC%D0%BF%D0%BB%D0%B8%D1%82%D1%83%D0%B4%D0%B0%D1%85%20%D0%B8%20%D1%84%D0%B0%D0%B7%D0%B0%D1%85%20%D0%BE%D1%82%D0%B4%D0%B5%D0%BB%D1%8C%C2%AD%D0%BD%D1%8B%D1%85%20%D0%B3%D0%B0%D1%80%D0%BC%D0%BE%D0%BD%D0%B8%D0%BA"</w:instrText>
      </w:r>
      <w:r>
        <w:rPr>
          <w:rStyle w:val="Hyperlink"/>
        </w:rPr>
        <w:fldChar w:fldCharType="separate"/>
      </w:r>
      <w:r>
        <w:rPr>
          <w:rStyle w:val="Hyperlink"/>
        </w:rPr>
        <w:t>[1]</w:t>
      </w:r>
      <w:r>
        <w:rPr>
          <w:rStyle w:val="Hyperlink"/>
        </w:rPr>
        <w:fldChar w:fldCharType="end"/>
      </w:r>
      <w:r>
        <w:fldChar w:fldCharType="begin"/>
      </w:r>
      <w:r>
        <w:rPr>
          <w:rStyle w:val="Hyperlink"/>
        </w:rPr>
        <w:instrText xml:space="preserve"> HYPERLINK "https://siblec.ru/telekommunikatsii/vvedenie-v-spetsialnost/3-signaly-vidy-signalov-i-ikh-parametry" \l ":~:text=%D0%A2%D0%BE%D1%82%20%D1%84%D0%B0%D0%BA%D1%82%2C%20%D1%87%D1%82%D0%BE%20%D1%81%D0%B8%D0%B3%D0%BD%D0%B0%D0%BB%20%D0%BF%D1%80%D0%BE%D0%B8%D0%B7%D0%B2%D0%BE%D0%BB%D1%8C%D0%BD%D0%BE%D0%B9,%D1%81%D1%82%D1%80%D0%BE%D0%B3%D0%BE%20%D0%BE%D0%BF%D1%80%D0%B5%D0%B4%D0%B5%D0%BB%D0%B5%D0%BD%D0%BD%D1%8B%D0%BC%D0%B8%20%D1%87%D0%B0%D1%81%D1%82%D0%BE%D1%82%D0%B0%D0%BC%D0%B8%20%D0%B8%20%D0%B0%D0%BC%D0%BF%D0%BB%D0%B8%D1%82%D1%83%D0%B4%D0%B0%D0%BC%D0%B8"</w:instrText>
      </w:r>
      <w:r>
        <w:rPr>
          <w:rStyle w:val="Hyperlink"/>
        </w:rPr>
        <w:fldChar w:fldCharType="separate"/>
      </w:r>
      <w:r>
        <w:rPr>
          <w:rStyle w:val="Hyperlink"/>
        </w:rPr>
        <w:t>[5]</w:t>
      </w:r>
      <w:r>
        <w:rPr>
          <w:rStyle w:val="Hyperlink"/>
        </w:rPr>
        <w:fldChar w:fldCharType="end"/>
      </w:r>
      <w:r>
        <w:rPr/>
        <w:t xml:space="preserve">. Нужен достаточный набор отсчетов (N) и вычислительная мощность. </w:t>
      </w:r>
      <w:r>
        <w:rPr>
          <w:b/>
          <w:bCs/>
        </w:rPr>
        <w:t>+</w:t>
      </w:r>
      <w:r>
        <w:rPr/>
        <w:t xml:space="preserve"> Обнаруживает несколько гармоник, оценивает спектр. </w:t>
      </w:r>
      <w:r>
        <w:rPr>
          <w:b/>
          <w:bCs/>
        </w:rPr>
        <w:t>–</w:t>
      </w:r>
      <w:r>
        <w:rPr/>
        <w:t xml:space="preserve"> Ограничения по скорости (нужно выполнять БПФ), чувствителен к оконечным эффектам и утечкам, требует хорошей синхронизации опорного такта.</w:t>
      </w:r>
    </w:p>
    <w:p>
      <w:pPr>
        <w:pStyle w:val="BodyText"/>
        <w:rPr/>
      </w:pPr>
      <w:r>
        <w:rPr>
          <w:i/>
          <w:iCs/>
        </w:rPr>
        <w:t>Метод нулевых пересечений:</w:t>
      </w:r>
      <w:r>
        <w:rPr/>
        <w:t xml:space="preserve"> в цифровой форме: отмечаем индексы перепадов знака (или срабатываний порога) в оцифрованном сигнале и вычисляем средний период. </w:t>
      </w:r>
      <w:r>
        <w:rPr>
          <w:b/>
          <w:bCs/>
        </w:rPr>
        <w:t>+</w:t>
      </w:r>
      <w:r>
        <w:rPr/>
        <w:t xml:space="preserve"> Простота: не требует FFT, подходит для одномногармонических сигналов. </w:t>
      </w:r>
      <w:r>
        <w:rPr>
          <w:b/>
          <w:bCs/>
        </w:rPr>
        <w:t>–</w:t>
      </w:r>
      <w:r>
        <w:rPr/>
        <w:t xml:space="preserve"> Чувствителен к шуму на фронтах (кроме если используют предварительную фильтрацию). Частотная точность ограничена шумом.</w:t>
      </w:r>
    </w:p>
    <w:p>
      <w:pPr>
        <w:pStyle w:val="BodyText"/>
        <w:rPr/>
      </w:pPr>
      <w:r>
        <w:rPr>
          <w:i/>
          <w:iCs/>
        </w:rPr>
        <w:t>Кросс-корреляция:</w:t>
      </w:r>
      <w:r>
        <w:rPr/>
        <w:t xml:space="preserve"> вычисляем корреляцию сигнала с самим собой со сдвигом (автокорреляция) или с известными шаблонами. Пик корреляции указывает период/фазу. </w:t>
      </w:r>
      <w:r>
        <w:rPr>
          <w:b/>
          <w:bCs/>
        </w:rPr>
        <w:t>+</w:t>
      </w:r>
      <w:r>
        <w:rPr/>
        <w:t xml:space="preserve"> Обнаруживает период даже при зашумленном сигнале, устойчивее при низком SNR. </w:t>
      </w:r>
      <w:r>
        <w:rPr>
          <w:b/>
          <w:bCs/>
        </w:rPr>
        <w:t>–</w:t>
      </w:r>
      <w:r>
        <w:rPr/>
        <w:t xml:space="preserve"> Требует много вычислений и памяти.</w:t>
      </w:r>
    </w:p>
    <w:p>
      <w:pPr>
        <w:pStyle w:val="BodyText"/>
        <w:rPr/>
      </w:pPr>
      <w:r>
        <w:rPr>
          <w:i/>
          <w:iCs/>
        </w:rPr>
        <w:t>Гистограммный анализ:</w:t>
      </w:r>
      <w:r>
        <w:rPr/>
        <w:t xml:space="preserve"> накапливаем гистограмму отсчетов амплитуд за длительный период. Пиковые бины гистограммы соответствуют характерным уровням сигнала (например, нижняя и верхняя границы прямоугольника, центральная линия нуля). Частоту сигнала можно оценить по средней длине периода (например, подсчет среднего числа отсчетов между совпадающими гистограммными пиками)</w:t>
      </w:r>
      <w:r>
        <w:fldChar w:fldCharType="begin"/>
      </w:r>
      <w:r>
        <w:rPr>
          <w:rStyle w:val="Hyperlink"/>
        </w:rPr>
        <w:instrText xml:space="preserve"> HYPERLINK "https://studfile.net/preview/10417297/page:8/" \l ":~:text=%D0%A4%D0%BE%D1%80%D0%BC%D0%B8%D1%80%D1%83%D1%8E%D1%89%D0%B5%D0%B5%20%D1%83%D1%81%D1%82%D1%80%D0%BE%D0%B9%D1%81%D1%82%D0%B2%D0%BE%20,%D1%82%D0%B5%D0%BC%20%D0%B6%D0%B5%20%D0%BF%D0%B5%D1%80%D0%B8%D0%BE%D0%B4%D0%BE%D0%BC%20%D1%81%D0%BB%D0%B5%D0%B4%D0%BE%D0%B2%D0%B0%D0%BD%D0%B8%D1%8F%20%D0%A2%D1%85"</w:instrText>
      </w:r>
      <w:r>
        <w:rPr>
          <w:rStyle w:val="Hyperlink"/>
        </w:rPr>
        <w:fldChar w:fldCharType="separate"/>
      </w:r>
      <w:r>
        <w:rPr>
          <w:rStyle w:val="Hyperlink"/>
        </w:rPr>
        <w:t>[10]</w:t>
      </w:r>
      <w:r>
        <w:rPr>
          <w:rStyle w:val="Hyperlink"/>
        </w:rPr>
        <w:fldChar w:fldCharType="end"/>
      </w:r>
      <w:r>
        <w:fldChar w:fldCharType="begin"/>
      </w:r>
      <w:r>
        <w:rPr>
          <w:rStyle w:val="Hyperlink"/>
        </w:rPr>
        <w:instrText xml:space="preserve"> HYPERLINK "https://studfile.net/preview/10417297/page:8/" \l ":~: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w:instrText>
      </w:r>
      <w:r>
        <w:rPr>
          <w:rStyle w:val="Hyperlink"/>
        </w:rPr>
        <w:fldChar w:fldCharType="separate"/>
      </w:r>
      <w:r>
        <w:rPr>
          <w:rStyle w:val="Hyperlink"/>
        </w:rPr>
        <w:t>[11]</w:t>
      </w:r>
      <w:r>
        <w:rPr>
          <w:rStyle w:val="Hyperlink"/>
        </w:rPr>
        <w:fldChar w:fldCharType="end"/>
      </w:r>
      <w:r>
        <w:rPr/>
        <w:t xml:space="preserve">. </w:t>
      </w:r>
      <w:r>
        <w:rPr>
          <w:b/>
          <w:bCs/>
        </w:rPr>
        <w:t>+</w:t>
      </w:r>
      <w:r>
        <w:rPr/>
        <w:t xml:space="preserve"> Очень устойчива к шуму в границах: шум «размазывает» гистограмму, но пики остаются. </w:t>
      </w:r>
      <w:r>
        <w:rPr>
          <w:b/>
          <w:bCs/>
        </w:rPr>
        <w:t>–</w:t>
      </w:r>
      <w:r>
        <w:rPr/>
        <w:t xml:space="preserve"> Требует большого числа отсчетов (глубина анализа), может медленно реагировать на изменение сигнала.</w:t>
      </w:r>
    </w:p>
    <w:p>
      <w:pPr>
        <w:pStyle w:val="BodyText"/>
        <w:rPr/>
      </w:pPr>
      <w:r>
        <w:rPr>
          <w:b/>
          <w:bCs/>
        </w:rPr>
        <w:t>DSP/FPGA:</w:t>
      </w:r>
      <w:r>
        <w:rPr/>
        <w:t xml:space="preserve"> Аппаратные DSP-модули или FPGA-реализации позволяют проводить на лету обработку высокоскоростных потоков (БПФ, декомпозиция, корреляция и др.). Высокая цена разработки, но очень высокая производительность и гибкость алгоритма (микширование сигналов, цифровые фильтры). В лабораториях и промышленности используются ПЛИС для анализа сигналов в реальном времени (радиотехника, SDR-системы).</w:t>
      </w:r>
    </w:p>
    <w:p>
      <w:pPr>
        <w:pStyle w:val="BodyText"/>
        <w:rPr/>
      </w:pPr>
      <w:r>
        <w:rPr>
          <w:b/>
          <w:bCs/>
        </w:rPr>
        <w:t>Специализированные цифровые анализаторы:</w:t>
      </w:r>
      <w:r>
        <w:rPr/>
        <w:t xml:space="preserve"> Например, анализаторы фазового шума и джиттера (генераторы тестовых паттернов и гистограммеры фронтов) применяют многоканальные АЦП и ковариационный анализ для глубокой оценки стабильности сигналов. В нашем случае более простые решения на АЦП+MCU покрывают основную часть требований.</w:t>
      </w:r>
    </w:p>
    <w:p>
      <w:pPr>
        <w:pStyle w:val="BodyText"/>
        <w:rPr/>
      </w:pPr>
      <w:r>
        <w:rPr>
          <w:b/>
          <w:bCs/>
        </w:rPr>
        <w:t>Сравнительный анализ методов:</w:t>
      </w:r>
      <w:r>
        <w:rPr/>
        <w:t xml:space="preserve"> Основные критерии сравнения – сложность разработки, стоимость, возможности обработки и адаптации алгоритмов, помехоустойчивость и точность измерений. Приведем схематичный сравнительный анализ в таблице:</w:t>
      </w:r>
    </w:p>
    <w:tbl>
      <w:tblPr>
        <w:tblW w:w="9571" w:type="dxa"/>
        <w:jc w:val="start"/>
        <w:tblInd w:w="0" w:type="dxa"/>
        <w:tblLayout w:type="fixed"/>
        <w:tblCellMar>
          <w:top w:w="0" w:type="dxa"/>
          <w:start w:w="108" w:type="dxa"/>
          <w:bottom w:w="0" w:type="dxa"/>
          <w:end w:w="108" w:type="dxa"/>
        </w:tblCellMar>
        <w:tblLook w:val="0020" w:noHBand="0" w:noVBand="0" w:firstColumn="0" w:lastRow="0" w:lastColumn="0" w:firstRow="1"/>
      </w:tblPr>
      <w:tblGrid>
        <w:gridCol w:w="1982"/>
        <w:gridCol w:w="1755"/>
        <w:gridCol w:w="2367"/>
        <w:gridCol w:w="1386"/>
        <w:gridCol w:w="2081"/>
      </w:tblGrid>
      <w:tr>
        <w:trPr>
          <w:tblHeader w:val="true"/>
        </w:trPr>
        <w:tc>
          <w:tcPr>
            <w:tcW w:w="1982" w:type="dxa"/>
            <w:tcBorders>
              <w:bottom w:val="single" w:sz="6" w:space="0" w:color="000000"/>
            </w:tcBorders>
            <w:shd w:color="auto" w:fill="auto" w:val="clear"/>
            <w:vAlign w:val="bottom"/>
          </w:tcPr>
          <w:p>
            <w:pPr>
              <w:pStyle w:val="Compact"/>
              <w:spacing w:before="36" w:after="36"/>
              <w:rPr/>
            </w:pPr>
            <w:r>
              <w:rPr/>
              <w:t>Метод</w:t>
            </w:r>
          </w:p>
        </w:tc>
        <w:tc>
          <w:tcPr>
            <w:tcW w:w="1755" w:type="dxa"/>
            <w:tcBorders>
              <w:bottom w:val="single" w:sz="6" w:space="0" w:color="000000"/>
            </w:tcBorders>
            <w:shd w:color="auto" w:fill="auto" w:val="clear"/>
            <w:vAlign w:val="bottom"/>
          </w:tcPr>
          <w:p>
            <w:pPr>
              <w:pStyle w:val="Compact"/>
              <w:spacing w:before="36" w:after="36"/>
              <w:rPr/>
            </w:pPr>
            <w:r>
              <w:rPr/>
              <w:t>Принцип</w:t>
            </w:r>
          </w:p>
        </w:tc>
        <w:tc>
          <w:tcPr>
            <w:tcW w:w="2367" w:type="dxa"/>
            <w:tcBorders>
              <w:bottom w:val="single" w:sz="6" w:space="0" w:color="000000"/>
            </w:tcBorders>
            <w:shd w:color="auto" w:fill="auto" w:val="clear"/>
            <w:vAlign w:val="bottom"/>
          </w:tcPr>
          <w:p>
            <w:pPr>
              <w:pStyle w:val="Compact"/>
              <w:spacing w:before="36" w:after="36"/>
              <w:rPr/>
            </w:pPr>
            <w:r>
              <w:rPr/>
              <w:t>Сложность / стоимость</w:t>
            </w:r>
          </w:p>
        </w:tc>
        <w:tc>
          <w:tcPr>
            <w:tcW w:w="1386" w:type="dxa"/>
            <w:tcBorders>
              <w:bottom w:val="single" w:sz="6" w:space="0" w:color="000000"/>
            </w:tcBorders>
            <w:shd w:color="auto" w:fill="auto" w:val="clear"/>
            <w:vAlign w:val="bottom"/>
          </w:tcPr>
          <w:p>
            <w:pPr>
              <w:pStyle w:val="Compact"/>
              <w:spacing w:before="36" w:after="36"/>
              <w:rPr/>
            </w:pPr>
            <w:r>
              <w:rPr/>
              <w:t>Устойчивость к шуму</w:t>
            </w:r>
          </w:p>
        </w:tc>
        <w:tc>
          <w:tcPr>
            <w:tcW w:w="2081" w:type="dxa"/>
            <w:tcBorders>
              <w:bottom w:val="single" w:sz="6" w:space="0" w:color="000000"/>
            </w:tcBorders>
            <w:shd w:color="auto" w:fill="auto" w:val="clear"/>
            <w:vAlign w:val="bottom"/>
          </w:tcPr>
          <w:p>
            <w:pPr>
              <w:pStyle w:val="Compact"/>
              <w:spacing w:before="36" w:after="36"/>
              <w:rPr/>
            </w:pPr>
            <w:r>
              <w:rPr/>
              <w:t>Гибкость алгоритма</w:t>
            </w:r>
          </w:p>
        </w:tc>
      </w:tr>
      <w:tr>
        <w:trPr/>
        <w:tc>
          <w:tcPr>
            <w:tcW w:w="1982" w:type="dxa"/>
            <w:tcBorders/>
            <w:shd w:color="auto" w:fill="auto" w:val="clear"/>
          </w:tcPr>
          <w:p>
            <w:pPr>
              <w:pStyle w:val="Compact"/>
              <w:spacing w:before="36" w:after="36"/>
              <w:rPr/>
            </w:pPr>
            <w:r>
              <w:rPr/>
              <w:t>Аналоговый компаратор</w:t>
            </w:r>
          </w:p>
        </w:tc>
        <w:tc>
          <w:tcPr>
            <w:tcW w:w="1755" w:type="dxa"/>
            <w:tcBorders/>
            <w:shd w:color="auto" w:fill="auto" w:val="clear"/>
          </w:tcPr>
          <w:p>
            <w:pPr>
              <w:pStyle w:val="Compact"/>
              <w:spacing w:before="36" w:after="36"/>
              <w:rPr/>
            </w:pPr>
            <w:r>
              <w:rPr/>
              <w:t>Преобразует сигнал в импульсы по уровню (ШОР-схема)</w:t>
            </w:r>
            <w:r>
              <w:fldChar w:fldCharType="begin"/>
            </w:r>
            <w:r>
              <w:rPr>
                <w:rStyle w:val="Hyperlink"/>
              </w:rPr>
              <w:instrText xml:space="preserve"> HYPERLINK "https://studfile.net/preview/10417297/page:8/" \l ":~:text=%D0%A4%D0%BE%D1%80%D0%BC%D0%B8%D1%80%D1%83%D1%8E%D1%89%D0%B5%D0%B5%20%D1%83%D1%81%D1%82%D1%80%D0%BE%D0%B9%D1%81%D1%82%D0%B2%D0%BE%20,%D1%82%D0%B5%D0%BC%20%D0%B6%D0%B5%20%D0%BF%D0%B5%D1%80%D0%B8%D0%BE%D0%B4%D0%BE%D0%BC%20%D1%81%D0%BB%D0%B5%D0%B4%D0%BE%D0%B2%D0%B0%D0%BD%D0%B8%D1%8F%20%D0%A2%D1%85"</w:instrText>
            </w:r>
            <w:r>
              <w:rPr>
                <w:rStyle w:val="Hyperlink"/>
              </w:rPr>
              <w:fldChar w:fldCharType="separate"/>
            </w:r>
            <w:r>
              <w:rPr>
                <w:rStyle w:val="Hyperlink"/>
              </w:rPr>
              <w:t>[10]</w:t>
            </w:r>
            <w:r>
              <w:rPr>
                <w:rStyle w:val="Hyperlink"/>
              </w:rPr>
              <w:fldChar w:fldCharType="end"/>
            </w:r>
          </w:p>
        </w:tc>
        <w:tc>
          <w:tcPr>
            <w:tcW w:w="2367" w:type="dxa"/>
            <w:tcBorders/>
            <w:shd w:color="auto" w:fill="auto" w:val="clear"/>
          </w:tcPr>
          <w:p>
            <w:pPr>
              <w:pStyle w:val="Compact"/>
              <w:spacing w:before="36" w:after="36"/>
              <w:rPr/>
            </w:pPr>
            <w:r>
              <w:rPr/>
              <w:t>Очень низкая (несколько операционных усилителей)</w:t>
            </w:r>
          </w:p>
        </w:tc>
        <w:tc>
          <w:tcPr>
            <w:tcW w:w="1386" w:type="dxa"/>
            <w:tcBorders/>
            <w:shd w:color="auto" w:fill="auto" w:val="clear"/>
          </w:tcPr>
          <w:p>
            <w:pPr>
              <w:pStyle w:val="Compact"/>
              <w:spacing w:before="36" w:after="36"/>
              <w:rPr/>
            </w:pPr>
            <w:r>
              <w:rPr/>
              <w:t>Низкая (один шумовой выброс дает ошибку)</w:t>
            </w:r>
          </w:p>
        </w:tc>
        <w:tc>
          <w:tcPr>
            <w:tcW w:w="2081" w:type="dxa"/>
            <w:tcBorders/>
            <w:shd w:color="auto" w:fill="auto" w:val="clear"/>
          </w:tcPr>
          <w:p>
            <w:pPr>
              <w:pStyle w:val="Compact"/>
              <w:spacing w:before="36" w:after="36"/>
              <w:rPr/>
            </w:pPr>
            <w:r>
              <w:rPr/>
              <w:t>Почти отсутствует (фиксированный порог)</w:t>
            </w:r>
          </w:p>
        </w:tc>
      </w:tr>
      <w:tr>
        <w:trPr/>
        <w:tc>
          <w:tcPr>
            <w:tcW w:w="1982" w:type="dxa"/>
            <w:tcBorders/>
            <w:shd w:color="auto" w:fill="auto" w:val="clear"/>
          </w:tcPr>
          <w:p>
            <w:pPr>
              <w:pStyle w:val="Compact"/>
              <w:spacing w:before="36" w:after="36"/>
              <w:rPr/>
            </w:pPr>
            <w:r>
              <w:rPr/>
              <w:t>Частотомер (прямой счет)</w:t>
            </w:r>
          </w:p>
        </w:tc>
        <w:tc>
          <w:tcPr>
            <w:tcW w:w="1755" w:type="dxa"/>
            <w:tcBorders/>
            <w:shd w:color="auto" w:fill="auto" w:val="clear"/>
          </w:tcPr>
          <w:p>
            <w:pPr>
              <w:pStyle w:val="Compact"/>
              <w:spacing w:before="36" w:after="36"/>
              <w:rPr/>
            </w:pPr>
            <w:r>
              <w:rPr/>
              <w:t>Считать $N$ периодов за $T$, $f=N/T$</w:t>
            </w:r>
            <w:r>
              <w:fldChar w:fldCharType="begin"/>
            </w:r>
            <w:r>
              <w:rPr>
                <w:rStyle w:val="Hyperlink"/>
              </w:rPr>
              <w:instrText xml:space="preserve"> HYPERLINK "https://studfile.net/preview/10417297/page:8/" \l ":~: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w:instrText>
            </w:r>
            <w:r>
              <w:rPr>
                <w:rStyle w:val="Hyperlink"/>
              </w:rPr>
              <w:fldChar w:fldCharType="separate"/>
            </w:r>
            <w:r>
              <w:rPr>
                <w:rStyle w:val="Hyperlink"/>
              </w:rPr>
              <w:t>[11]</w:t>
            </w:r>
            <w:r>
              <w:rPr>
                <w:rStyle w:val="Hyperlink"/>
              </w:rPr>
              <w:fldChar w:fldCharType="end"/>
            </w:r>
          </w:p>
        </w:tc>
        <w:tc>
          <w:tcPr>
            <w:tcW w:w="2367" w:type="dxa"/>
            <w:tcBorders/>
            <w:shd w:color="auto" w:fill="auto" w:val="clear"/>
          </w:tcPr>
          <w:p>
            <w:pPr>
              <w:pStyle w:val="Compact"/>
              <w:spacing w:before="36" w:after="36"/>
              <w:rPr/>
            </w:pPr>
            <w:r>
              <w:rPr/>
              <w:t>Низкая (лог. схема, таймер)</w:t>
            </w:r>
          </w:p>
        </w:tc>
        <w:tc>
          <w:tcPr>
            <w:tcW w:w="1386" w:type="dxa"/>
            <w:tcBorders/>
            <w:shd w:color="auto" w:fill="auto" w:val="clear"/>
          </w:tcPr>
          <w:p>
            <w:pPr>
              <w:pStyle w:val="Compact"/>
              <w:spacing w:before="36" w:after="36"/>
              <w:rPr/>
            </w:pPr>
            <w:r>
              <w:rPr/>
              <w:t>Средняя (шум на фронте ведет к пропускам)</w:t>
            </w:r>
          </w:p>
        </w:tc>
        <w:tc>
          <w:tcPr>
            <w:tcW w:w="2081" w:type="dxa"/>
            <w:tcBorders/>
            <w:shd w:color="auto" w:fill="auto" w:val="clear"/>
          </w:tcPr>
          <w:p>
            <w:pPr>
              <w:pStyle w:val="Compact"/>
              <w:spacing w:before="36" w:after="36"/>
              <w:rPr/>
            </w:pPr>
            <w:r>
              <w:rPr/>
              <w:t>Низкая (только частота)</w:t>
            </w:r>
          </w:p>
        </w:tc>
      </w:tr>
      <w:tr>
        <w:trPr/>
        <w:tc>
          <w:tcPr>
            <w:tcW w:w="1982" w:type="dxa"/>
            <w:tcBorders/>
            <w:shd w:color="auto" w:fill="auto" w:val="clear"/>
          </w:tcPr>
          <w:p>
            <w:pPr>
              <w:pStyle w:val="Compact"/>
              <w:spacing w:before="36" w:after="36"/>
              <w:rPr/>
            </w:pPr>
            <w:r>
              <w:rPr/>
              <w:t>ФАПЧ</w:t>
            </w:r>
          </w:p>
        </w:tc>
        <w:tc>
          <w:tcPr>
            <w:tcW w:w="1755" w:type="dxa"/>
            <w:tcBorders/>
            <w:shd w:color="auto" w:fill="auto" w:val="clear"/>
          </w:tcPr>
          <w:p>
            <w:pPr>
              <w:pStyle w:val="Compact"/>
              <w:spacing w:before="36" w:after="36"/>
              <w:rPr/>
            </w:pPr>
            <w:r>
              <w:rPr/>
              <w:t>VCO синхронизируется с входным, по управляющему напряжению $f$</w:t>
            </w:r>
          </w:p>
        </w:tc>
        <w:tc>
          <w:tcPr>
            <w:tcW w:w="2367" w:type="dxa"/>
            <w:tcBorders/>
            <w:shd w:color="auto" w:fill="auto" w:val="clear"/>
          </w:tcPr>
          <w:p>
            <w:pPr>
              <w:pStyle w:val="Compact"/>
              <w:spacing w:before="36" w:after="36"/>
              <w:rPr/>
            </w:pPr>
            <w:r>
              <w:rPr/>
              <w:t>Средняя (ФАПЧ-узел, фильтры)</w:t>
            </w:r>
          </w:p>
        </w:tc>
        <w:tc>
          <w:tcPr>
            <w:tcW w:w="1386" w:type="dxa"/>
            <w:tcBorders/>
            <w:shd w:color="auto" w:fill="auto" w:val="clear"/>
          </w:tcPr>
          <w:p>
            <w:pPr>
              <w:pStyle w:val="Compact"/>
              <w:spacing w:before="36" w:after="36"/>
              <w:rPr/>
            </w:pPr>
            <w:r>
              <w:rPr/>
              <w:t>Выше (фильтрация шумов, но ограниченная)</w:t>
            </w:r>
          </w:p>
        </w:tc>
        <w:tc>
          <w:tcPr>
            <w:tcW w:w="2081" w:type="dxa"/>
            <w:tcBorders/>
            <w:shd w:color="auto" w:fill="auto" w:val="clear"/>
          </w:tcPr>
          <w:p>
            <w:pPr>
              <w:pStyle w:val="Compact"/>
              <w:spacing w:before="36" w:after="36"/>
              <w:rPr/>
            </w:pPr>
            <w:r>
              <w:rPr/>
              <w:t>Средняя (адаптация задержки)</w:t>
            </w:r>
          </w:p>
        </w:tc>
      </w:tr>
      <w:tr>
        <w:trPr/>
        <w:tc>
          <w:tcPr>
            <w:tcW w:w="1982" w:type="dxa"/>
            <w:tcBorders/>
            <w:shd w:color="auto" w:fill="auto" w:val="clear"/>
          </w:tcPr>
          <w:p>
            <w:pPr>
              <w:pStyle w:val="Compact"/>
              <w:spacing w:before="36" w:after="36"/>
              <w:rPr/>
            </w:pPr>
            <w:r>
              <w:rPr/>
              <w:t>Аналого-цифровой осциллограф</w:t>
            </w:r>
          </w:p>
        </w:tc>
        <w:tc>
          <w:tcPr>
            <w:tcW w:w="1755" w:type="dxa"/>
            <w:tcBorders/>
            <w:shd w:color="auto" w:fill="auto" w:val="clear"/>
          </w:tcPr>
          <w:p>
            <w:pPr>
              <w:pStyle w:val="Compact"/>
              <w:spacing w:before="36" w:after="36"/>
              <w:rPr/>
            </w:pPr>
            <w:r>
              <w:rPr/>
              <w:t>Высокоскоростный АЦП + ЦПЛ/ЦП (запись формы сигнала)</w:t>
            </w:r>
          </w:p>
        </w:tc>
        <w:tc>
          <w:tcPr>
            <w:tcW w:w="2367" w:type="dxa"/>
            <w:tcBorders/>
            <w:shd w:color="auto" w:fill="auto" w:val="clear"/>
          </w:tcPr>
          <w:p>
            <w:pPr>
              <w:pStyle w:val="Compact"/>
              <w:spacing w:before="36" w:after="36"/>
              <w:rPr/>
            </w:pPr>
            <w:r>
              <w:rPr/>
              <w:t>Очень высокая (сложная электроника)</w:t>
            </w:r>
          </w:p>
        </w:tc>
        <w:tc>
          <w:tcPr>
            <w:tcW w:w="1386" w:type="dxa"/>
            <w:tcBorders/>
            <w:shd w:color="auto" w:fill="auto" w:val="clear"/>
          </w:tcPr>
          <w:p>
            <w:pPr>
              <w:pStyle w:val="Compact"/>
              <w:spacing w:before="36" w:after="36"/>
              <w:rPr/>
            </w:pPr>
            <w:r>
              <w:rPr/>
              <w:t>Очень высокая (цифровая фильтрация)</w:t>
            </w:r>
          </w:p>
        </w:tc>
        <w:tc>
          <w:tcPr>
            <w:tcW w:w="2081" w:type="dxa"/>
            <w:tcBorders/>
            <w:shd w:color="auto" w:fill="auto" w:val="clear"/>
          </w:tcPr>
          <w:p>
            <w:pPr>
              <w:pStyle w:val="Compact"/>
              <w:spacing w:before="36" w:after="36"/>
              <w:rPr/>
            </w:pPr>
            <w:r>
              <w:rPr/>
              <w:t>Очень высокая (произвольные алгоритмы)</w:t>
            </w:r>
          </w:p>
        </w:tc>
      </w:tr>
      <w:tr>
        <w:trPr/>
        <w:tc>
          <w:tcPr>
            <w:tcW w:w="1982" w:type="dxa"/>
            <w:tcBorders/>
            <w:shd w:color="auto" w:fill="auto" w:val="clear"/>
          </w:tcPr>
          <w:p>
            <w:pPr>
              <w:pStyle w:val="Compact"/>
              <w:spacing w:before="36" w:after="36"/>
              <w:rPr/>
            </w:pPr>
            <w:r>
              <w:rPr/>
              <w:t>АЦП + MCU (гистограмма + DSP)</w:t>
            </w:r>
          </w:p>
        </w:tc>
        <w:tc>
          <w:tcPr>
            <w:tcW w:w="1755" w:type="dxa"/>
            <w:tcBorders/>
            <w:shd w:color="auto" w:fill="auto" w:val="clear"/>
          </w:tcPr>
          <w:p>
            <w:pPr>
              <w:pStyle w:val="Compact"/>
              <w:spacing w:before="36" w:after="36"/>
              <w:rPr/>
            </w:pPr>
            <w:r>
              <w:rPr/>
              <w:t>Запись сигнала, цифровой анализ (гистограммы, FFT, кр. корреляция)</w:t>
            </w:r>
          </w:p>
        </w:tc>
        <w:tc>
          <w:tcPr>
            <w:tcW w:w="2367" w:type="dxa"/>
            <w:tcBorders/>
            <w:shd w:color="auto" w:fill="auto" w:val="clear"/>
          </w:tcPr>
          <w:p>
            <w:pPr>
              <w:pStyle w:val="Compact"/>
              <w:spacing w:before="36" w:after="36"/>
              <w:rPr/>
            </w:pPr>
            <w:r>
              <w:rPr/>
              <w:t>Средняя (микроконтроллер и АЦП)</w:t>
            </w:r>
          </w:p>
        </w:tc>
        <w:tc>
          <w:tcPr>
            <w:tcW w:w="1386" w:type="dxa"/>
            <w:tcBorders/>
            <w:shd w:color="auto" w:fill="auto" w:val="clear"/>
          </w:tcPr>
          <w:p>
            <w:pPr>
              <w:pStyle w:val="Compact"/>
              <w:spacing w:before="36" w:after="36"/>
              <w:rPr/>
            </w:pPr>
            <w:r>
              <w:rPr/>
              <w:t>Высокая (алгоритмы усреднения, фильтрация)</w:t>
            </w:r>
          </w:p>
        </w:tc>
        <w:tc>
          <w:tcPr>
            <w:tcW w:w="2081" w:type="dxa"/>
            <w:tcBorders/>
            <w:shd w:color="auto" w:fill="auto" w:val="clear"/>
          </w:tcPr>
          <w:p>
            <w:pPr>
              <w:pStyle w:val="Compact"/>
              <w:spacing w:before="36" w:after="36"/>
              <w:rPr/>
            </w:pPr>
            <w:r>
              <w:rPr/>
              <w:t>Высокая (программируемость)</w:t>
            </w:r>
          </w:p>
        </w:tc>
      </w:tr>
      <w:tr>
        <w:trPr/>
        <w:tc>
          <w:tcPr>
            <w:tcW w:w="1982" w:type="dxa"/>
            <w:tcBorders/>
            <w:shd w:color="auto" w:fill="auto" w:val="clear"/>
          </w:tcPr>
          <w:p>
            <w:pPr>
              <w:pStyle w:val="Compact"/>
              <w:spacing w:before="36" w:after="36"/>
              <w:rPr/>
            </w:pPr>
            <w:r>
              <w:rPr/>
              <w:t>БПФ-анализ (DIGITAL)</w:t>
            </w:r>
          </w:p>
        </w:tc>
        <w:tc>
          <w:tcPr>
            <w:tcW w:w="1755" w:type="dxa"/>
            <w:tcBorders/>
            <w:shd w:color="auto" w:fill="auto" w:val="clear"/>
          </w:tcPr>
          <w:p>
            <w:pPr>
              <w:pStyle w:val="Compact"/>
              <w:spacing w:before="36" w:after="36"/>
              <w:rPr/>
            </w:pPr>
            <w:r>
              <w:rPr/>
              <w:t>Быстрое преобразование Фурье для спектра</w:t>
            </w:r>
          </w:p>
        </w:tc>
        <w:tc>
          <w:tcPr>
            <w:tcW w:w="2367" w:type="dxa"/>
            <w:tcBorders/>
            <w:shd w:color="auto" w:fill="auto" w:val="clear"/>
          </w:tcPr>
          <w:p>
            <w:pPr>
              <w:pStyle w:val="Compact"/>
              <w:spacing w:before="36" w:after="36"/>
              <w:rPr/>
            </w:pPr>
            <w:r>
              <w:rPr/>
              <w:t>Средняя – высокая (микропроцессор/сопроц.)</w:t>
            </w:r>
          </w:p>
        </w:tc>
        <w:tc>
          <w:tcPr>
            <w:tcW w:w="1386" w:type="dxa"/>
            <w:tcBorders/>
            <w:shd w:color="auto" w:fill="auto" w:val="clear"/>
          </w:tcPr>
          <w:p>
            <w:pPr>
              <w:pStyle w:val="Compact"/>
              <w:spacing w:before="36" w:after="36"/>
              <w:rPr/>
            </w:pPr>
            <w:r>
              <w:rPr/>
              <w:t>Средняя (чувствителен к оконным эффектам)</w:t>
            </w:r>
          </w:p>
        </w:tc>
        <w:tc>
          <w:tcPr>
            <w:tcW w:w="2081" w:type="dxa"/>
            <w:tcBorders/>
            <w:shd w:color="auto" w:fill="auto" w:val="clear"/>
          </w:tcPr>
          <w:p>
            <w:pPr>
              <w:pStyle w:val="Compact"/>
              <w:spacing w:before="36" w:after="36"/>
              <w:rPr/>
            </w:pPr>
            <w:r>
              <w:rPr/>
              <w:t>Высокая (параметры FFT)</w:t>
            </w:r>
          </w:p>
        </w:tc>
      </w:tr>
      <w:tr>
        <w:trPr/>
        <w:tc>
          <w:tcPr>
            <w:tcW w:w="1982" w:type="dxa"/>
            <w:tcBorders/>
            <w:shd w:color="auto" w:fill="auto" w:val="clear"/>
          </w:tcPr>
          <w:p>
            <w:pPr>
              <w:pStyle w:val="Compact"/>
              <w:spacing w:before="36" w:after="36"/>
              <w:rPr/>
            </w:pPr>
            <w:r>
              <w:rPr/>
              <w:t>Нулевые пересечения (цифровой)</w:t>
            </w:r>
          </w:p>
        </w:tc>
        <w:tc>
          <w:tcPr>
            <w:tcW w:w="1755" w:type="dxa"/>
            <w:tcBorders/>
            <w:shd w:color="auto" w:fill="auto" w:val="clear"/>
          </w:tcPr>
          <w:p>
            <w:pPr>
              <w:pStyle w:val="Compact"/>
              <w:spacing w:before="36" w:after="36"/>
              <w:rPr/>
            </w:pPr>
            <w:r>
              <w:rPr/>
              <w:t>Определение моментов пересечения уровнем</w:t>
            </w:r>
          </w:p>
        </w:tc>
        <w:tc>
          <w:tcPr>
            <w:tcW w:w="2367" w:type="dxa"/>
            <w:tcBorders/>
            <w:shd w:color="auto" w:fill="auto" w:val="clear"/>
          </w:tcPr>
          <w:p>
            <w:pPr>
              <w:pStyle w:val="Compact"/>
              <w:spacing w:before="36" w:after="36"/>
              <w:rPr/>
            </w:pPr>
            <w:r>
              <w:rPr/>
              <w:t>Низкая – средняя (цифровые таймеры)</w:t>
            </w:r>
          </w:p>
        </w:tc>
        <w:tc>
          <w:tcPr>
            <w:tcW w:w="1386" w:type="dxa"/>
            <w:tcBorders/>
            <w:shd w:color="auto" w:fill="auto" w:val="clear"/>
          </w:tcPr>
          <w:p>
            <w:pPr>
              <w:pStyle w:val="Compact"/>
              <w:spacing w:before="36" w:after="36"/>
              <w:rPr/>
            </w:pPr>
            <w:r>
              <w:rPr/>
              <w:t>Низкая (фронт выскакивает при помехе)</w:t>
            </w:r>
          </w:p>
        </w:tc>
        <w:tc>
          <w:tcPr>
            <w:tcW w:w="2081" w:type="dxa"/>
            <w:tcBorders/>
            <w:shd w:color="auto" w:fill="auto" w:val="clear"/>
          </w:tcPr>
          <w:p>
            <w:pPr>
              <w:pStyle w:val="Compact"/>
              <w:spacing w:before="36" w:after="36"/>
              <w:rPr/>
            </w:pPr>
            <w:r>
              <w:rPr/>
              <w:t>Низкая (фикс. пороги)</w:t>
            </w:r>
          </w:p>
        </w:tc>
      </w:tr>
      <w:tr>
        <w:trPr/>
        <w:tc>
          <w:tcPr>
            <w:tcW w:w="1982" w:type="dxa"/>
            <w:tcBorders/>
            <w:shd w:color="auto" w:fill="auto" w:val="clear"/>
          </w:tcPr>
          <w:p>
            <w:pPr>
              <w:pStyle w:val="Compact"/>
              <w:spacing w:before="36" w:after="36"/>
              <w:rPr/>
            </w:pPr>
            <w:r>
              <w:rPr/>
              <w:t>Корреляционный (автокорреляция)</w:t>
            </w:r>
          </w:p>
        </w:tc>
        <w:tc>
          <w:tcPr>
            <w:tcW w:w="1755" w:type="dxa"/>
            <w:tcBorders/>
            <w:shd w:color="auto" w:fill="auto" w:val="clear"/>
          </w:tcPr>
          <w:p>
            <w:pPr>
              <w:pStyle w:val="Compact"/>
              <w:spacing w:before="36" w:after="36"/>
              <w:rPr/>
            </w:pPr>
            <w:r>
              <w:rPr/>
              <w:t>Сдвиг и корреляция сигнала с самим собой</w:t>
            </w:r>
          </w:p>
        </w:tc>
        <w:tc>
          <w:tcPr>
            <w:tcW w:w="2367" w:type="dxa"/>
            <w:tcBorders/>
            <w:shd w:color="auto" w:fill="auto" w:val="clear"/>
          </w:tcPr>
          <w:p>
            <w:pPr>
              <w:pStyle w:val="Compact"/>
              <w:spacing w:before="36" w:after="36"/>
              <w:rPr/>
            </w:pPr>
            <w:r>
              <w:rPr/>
              <w:t>Высокая (большая обработка)</w:t>
            </w:r>
          </w:p>
        </w:tc>
        <w:tc>
          <w:tcPr>
            <w:tcW w:w="1386" w:type="dxa"/>
            <w:tcBorders/>
            <w:shd w:color="auto" w:fill="auto" w:val="clear"/>
          </w:tcPr>
          <w:p>
            <w:pPr>
              <w:pStyle w:val="Compact"/>
              <w:spacing w:before="36" w:after="36"/>
              <w:rPr/>
            </w:pPr>
            <w:r>
              <w:rPr/>
              <w:t>Очень высокая (выделяет период из шума)</w:t>
            </w:r>
          </w:p>
        </w:tc>
        <w:tc>
          <w:tcPr>
            <w:tcW w:w="2081" w:type="dxa"/>
            <w:tcBorders/>
            <w:shd w:color="auto" w:fill="auto" w:val="clear"/>
          </w:tcPr>
          <w:p>
            <w:pPr>
              <w:pStyle w:val="Compact"/>
              <w:spacing w:before="36" w:after="36"/>
              <w:rPr/>
            </w:pPr>
            <w:r>
              <w:rPr/>
              <w:t>Высокая (гибкое определение шаблонов)</w:t>
            </w:r>
          </w:p>
        </w:tc>
      </w:tr>
      <w:tr>
        <w:trPr/>
        <w:tc>
          <w:tcPr>
            <w:tcW w:w="1982" w:type="dxa"/>
            <w:tcBorders/>
            <w:shd w:color="auto" w:fill="auto" w:val="clear"/>
          </w:tcPr>
          <w:p>
            <w:pPr>
              <w:pStyle w:val="Compact"/>
              <w:spacing w:before="36" w:after="36"/>
              <w:rPr/>
            </w:pPr>
            <w:r>
              <w:rPr/>
              <w:t>Специализированные DSP/FPGA</w:t>
            </w:r>
          </w:p>
        </w:tc>
        <w:tc>
          <w:tcPr>
            <w:tcW w:w="1755" w:type="dxa"/>
            <w:tcBorders/>
            <w:shd w:color="auto" w:fill="auto" w:val="clear"/>
          </w:tcPr>
          <w:p>
            <w:pPr>
              <w:pStyle w:val="Compact"/>
              <w:spacing w:before="36" w:after="36"/>
              <w:rPr/>
            </w:pPr>
            <w:r>
              <w:rPr/>
              <w:t>Аппаратная реализация алгоритмов (FFT, DM)</w:t>
            </w:r>
          </w:p>
        </w:tc>
        <w:tc>
          <w:tcPr>
            <w:tcW w:w="2367" w:type="dxa"/>
            <w:tcBorders/>
            <w:shd w:color="auto" w:fill="auto" w:val="clear"/>
          </w:tcPr>
          <w:p>
            <w:pPr>
              <w:pStyle w:val="Compact"/>
              <w:spacing w:before="36" w:after="36"/>
              <w:rPr/>
            </w:pPr>
            <w:r>
              <w:rPr/>
              <w:t>Очень высокая (комплексные ПЛИС)</w:t>
            </w:r>
          </w:p>
        </w:tc>
        <w:tc>
          <w:tcPr>
            <w:tcW w:w="1386" w:type="dxa"/>
            <w:tcBorders/>
            <w:shd w:color="auto" w:fill="auto" w:val="clear"/>
          </w:tcPr>
          <w:p>
            <w:pPr>
              <w:pStyle w:val="Compact"/>
              <w:spacing w:before="36" w:after="36"/>
              <w:rPr/>
            </w:pPr>
            <w:r>
              <w:rPr/>
              <w:t>Высокая (кастомные фильтры и алгоритмы)</w:t>
            </w:r>
          </w:p>
        </w:tc>
        <w:tc>
          <w:tcPr>
            <w:tcW w:w="2081" w:type="dxa"/>
            <w:tcBorders/>
            <w:shd w:color="auto" w:fill="auto" w:val="clear"/>
          </w:tcPr>
          <w:p>
            <w:pPr>
              <w:pStyle w:val="Compact"/>
              <w:spacing w:before="36" w:after="36"/>
              <w:rPr/>
            </w:pPr>
            <w:r>
              <w:rPr/>
              <w:t>Очень высокая (реконфигурируемость)</w:t>
            </w:r>
          </w:p>
        </w:tc>
      </w:tr>
    </w:tbl>
    <w:p>
      <w:pPr>
        <w:pStyle w:val="BodyText"/>
        <w:rPr>
          <w:lang w:val="ru-RU"/>
        </w:rPr>
      </w:pPr>
      <w:r>
        <w:rPr>
          <w:lang w:val="ru-RU"/>
        </w:rPr>
      </w:r>
    </w:p>
    <w:p>
      <w:pPr>
        <w:pStyle w:val="BodyText"/>
        <w:rPr>
          <w:lang w:val="ru-RU"/>
        </w:rPr>
      </w:pPr>
      <w:r>
        <w:rPr>
          <w:lang w:val="ru-RU"/>
        </w:rPr>
      </w:r>
    </w:p>
    <w:p>
      <w:pPr>
        <w:pStyle w:val="BodyText"/>
        <w:rPr/>
      </w:pPr>
      <w:r>
        <w:rPr/>
        <w:t>Источник: составлено автором на основе принципов из литературы</w:t>
      </w:r>
      <w:r>
        <w:fldChar w:fldCharType="begin"/>
      </w:r>
      <w:r>
        <w:rPr>
          <w:rStyle w:val="Hyperlink"/>
        </w:rPr>
        <w:instrText xml:space="preserve"> HYPERLINK "https://studfile.net/preview/10417297/page:8/" \l ":~:text=%D0%A4%D0%BE%D1%80%D0%BC%D0%B8%D1%80%D1%83%D1%8E%D1%89%D0%B5%D0%B5%20%D1%83%D1%81%D1%82%D1%80%D0%BE%D0%B9%D1%81%D1%82%D0%B2%D0%BE%20,%D1%82%D0%B5%D0%BC%20%D0%B6%D0%B5%20%D0%BF%D0%B5%D1%80%D0%B8%D0%BE%D0%B4%D0%BE%D0%BC%20%D1%81%D0%BB%D0%B5%D0%B4%D0%BE%D0%B2%D0%B0%D0%BD%D0%B8%D1%8F%20%D0%A2%D1%85"</w:instrText>
      </w:r>
      <w:r>
        <w:rPr>
          <w:rStyle w:val="Hyperlink"/>
        </w:rPr>
        <w:fldChar w:fldCharType="separate"/>
      </w:r>
      <w:r>
        <w:rPr>
          <w:rStyle w:val="Hyperlink"/>
        </w:rPr>
        <w:t>[10]</w:t>
      </w:r>
      <w:r>
        <w:rPr>
          <w:rStyle w:val="Hyperlink"/>
        </w:rPr>
        <w:fldChar w:fldCharType="end"/>
      </w:r>
      <w:r>
        <w:fldChar w:fldCharType="begin"/>
      </w:r>
      <w:r>
        <w:rPr>
          <w:rStyle w:val="Hyperlink"/>
        </w:rPr>
        <w:instrText xml:space="preserve"> HYPERLINK "https://studfile.net/preview/10417297/page:8/" \l ":~: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w:instrText>
      </w:r>
      <w:r>
        <w:rPr>
          <w:rStyle w:val="Hyperlink"/>
        </w:rPr>
        <w:fldChar w:fldCharType="separate"/>
      </w:r>
      <w:r>
        <w:rPr>
          <w:rStyle w:val="Hyperlink"/>
        </w:rPr>
        <w:t>[11]</w:t>
      </w:r>
      <w:r>
        <w:rPr>
          <w:rStyle w:val="Hyperlink"/>
        </w:rPr>
        <w:fldChar w:fldCharType="end"/>
      </w:r>
      <w:r>
        <w:rPr/>
        <w:t>.</w:t>
      </w:r>
    </w:p>
    <w:p>
      <w:pPr>
        <w:pStyle w:val="BodyText"/>
        <w:rPr/>
      </w:pPr>
      <w:r>
        <w:rPr/>
      </w:r>
    </w:p>
    <w:p>
      <w:pPr>
        <w:pStyle w:val="Heading2"/>
        <w:rPr/>
      </w:pPr>
      <w:bookmarkStart w:id="9" w:name="__RefHeading___Toc2165_1929968905"/>
      <w:bookmarkEnd w:id="9"/>
      <w:r>
        <w:rPr/>
        <w:t>1.5 Патентный поиск и обзор аналогичных решений</w:t>
      </w:r>
    </w:p>
    <w:p>
      <w:pPr>
        <w:pStyle w:val="BodyText"/>
        <w:rPr/>
      </w:pPr>
      <w:r>
        <w:rPr/>
        <w:t>В результате патентного поиска обнаружены отдельные решения, связанные с измерением параметров периодических сигналов:</w:t>
      </w:r>
    </w:p>
    <w:p>
      <w:pPr>
        <w:pStyle w:val="BodyText"/>
        <w:rPr>
          <w:lang w:val="en-US"/>
        </w:rPr>
      </w:pPr>
      <w:r>
        <w:rPr>
          <w:b/>
          <w:bCs/>
        </w:rPr>
        <w:t>- RU2183839C1 (2002):</w:t>
      </w:r>
      <w:r>
        <w:rPr/>
        <w:t xml:space="preserve"> описан метод измерения частоты синусоидальных сигналов через рекуррентные формулы фаз</w:t>
      </w:r>
      <w:r>
        <w:fldChar w:fldCharType="begin"/>
      </w:r>
      <w:r>
        <w:rPr>
          <w:rStyle w:val="Hyperlink"/>
        </w:rPr>
        <w:instrText xml:space="preserve"> HYPERLINK "https://patents.google.com/patent/RU2183839C1/ru" \l ":~:text=%D0%98%D0%B7%D0%BE%D0%B1%D1%80%D0%B5%D1%82%D0%B5%D0%BD%D0%B8%D0%B5%20%D0%BE%D1%82%D0%BD%D0%BE%D1%81%D0%B8%D1%82%D1%81%D1%8F%20%D0%BA%20%D1%82%D0%B5%D1%85%D0%BD%D0%B8%D0%BA%D0%B5%20%D1%81%D0%B2%D1%8F%D0%B7%D0%B8,%D0%B2%D0%BE%D1%81%D1%81%D1%82%D0%B0%D0%BD%D0%BE%D0%B2%D0%BB%D0%B5%D0%BD%D0%B8%D1%8F%20%D0%BD%D0%B5%D1%81%D1%83%D1%89%D0%B5%D0%B9%20%D1%87%D0%B0%D1%81%D1%82%D0%BE%D1%82%D1%8B%20%D1%84%D0%B0%D0%B7%D0%BE%D0%B2%D1%8B%D1%85%20%D0%B4%D0%B5%D0%BC%D0%BE%D0%B4%D1%83%D0%BB%D1%8F%D1%82%D0%BE%D1%80%D0%BE%D0%B2"</w:instrText>
      </w:r>
      <w:r>
        <w:rPr>
          <w:rStyle w:val="Hyperlink"/>
        </w:rPr>
        <w:fldChar w:fldCharType="separate"/>
      </w:r>
      <w:r>
        <w:rPr>
          <w:rStyle w:val="Hyperlink"/>
        </w:rPr>
        <w:t>[14]</w:t>
      </w:r>
      <w:r>
        <w:rPr>
          <w:rStyle w:val="Hyperlink"/>
        </w:rPr>
        <w:fldChar w:fldCharType="end"/>
      </w:r>
      <w:r>
        <w:rPr/>
        <w:t>. Устройство использует операторы умножения и низкочастотные фильтры, выдает мгновенную оценку частоты в реальном времени</w:t>
      </w:r>
      <w:r>
        <w:fldChar w:fldCharType="begin"/>
      </w:r>
      <w:r>
        <w:rPr>
          <w:rStyle w:val="Hyperlink"/>
        </w:rPr>
        <w:instrText xml:space="preserve"> HYPERLINK "https://patents.google.com/patent/RU2183839C1/ru" \l ":~:text=%D0%98%D0%B7%D0%BE%D0%B1%D1%80%D0%B5%D1%82%D0%B5%D0%BD%D0%B8%D0%B5%20%D0%BE%D1%82%D0%BD%D0%BE%D1%81%D0%B8%D1%82%D1%81%D1%8F%20%D0%BA%20%D1%82%D0%B5%D1%85%D0%BD%D0%B8%D0%BA%D0%B5%20%D1%81%D0%B2%D1%8F%D0%B7%D0%B8,%D0%B2%D1%8B%D1%80%D0%B0%D0%B6%D0%B5%D0%BD%D0%B8%D1%8F%D0%BC%D0%B8%2C%20%D0%BF%D1%80%D0%B8%20%D1%8D%D1%82%D0%BE%D0%BC%20%D0%BE%D1%86%D0%B5%D0%BD%D0%BA%D1%83%20%D1%87%D0%B0%D1%81%D1%82%D0%BE%D1%82%D1%8B"</w:instrText>
      </w:r>
      <w:r>
        <w:rPr>
          <w:rStyle w:val="Hyperlink"/>
        </w:rPr>
        <w:fldChar w:fldCharType="separate"/>
      </w:r>
      <w:r>
        <w:rPr>
          <w:rStyle w:val="Hyperlink"/>
        </w:rPr>
        <w:t>[15]</w:t>
      </w:r>
      <w:r>
        <w:rPr>
          <w:rStyle w:val="Hyperlink"/>
        </w:rPr>
        <w:fldChar w:fldCharType="end"/>
      </w:r>
      <w:r>
        <w:rPr/>
        <w:t>. Это узко специализированный алгоритм фазового отслеживания (ФАПЧ-подход)</w:t>
      </w:r>
      <w:r>
        <w:rPr>
          <w:lang w:val="en-US"/>
        </w:rPr>
        <w:t>;</w:t>
      </w:r>
    </w:p>
    <w:p>
      <w:pPr>
        <w:pStyle w:val="BodyText"/>
        <w:rPr/>
      </w:pPr>
      <w:r>
        <w:rPr>
          <w:b/>
          <w:bCs/>
        </w:rPr>
        <w:t>- RU2229139C1 (2004):</w:t>
      </w:r>
      <w:r>
        <w:rPr/>
        <w:t xml:space="preserve"> предлагается способ спектрального анализа сложного периодического сигнала: перемножение анализируемого сигнала с бинарным опорным, суммирование результатов за период и поиск максимума постоянной составляющей</w:t>
      </w:r>
      <w:r>
        <w:fldChar w:fldCharType="begin"/>
      </w:r>
      <w:r>
        <w:rPr>
          <w:rStyle w:val="Hyperlink"/>
        </w:rPr>
        <w:instrText xml:space="preserve"> HYPERLINK "https://patents.google.com/patent/RU2229139C1/ru" \l ":~:text=%D0%98%D0%B7%D0%BE%D0%B1%D1%80%D0%B5%D1%82%D0%B5%D0%BD%D0%B8%D0%B5%20%D0%BE%D1%82%D0%BD%D0%BE%D1%81%D0%B8%D1%82%D1%81%D1%8F%20%D0%BA%20%D0%BE%D0%B1%D0%BB%D0%B0%D1%81%D1%82%D0%B8%20%D1%86%D0%B8%D1%84%D1%80%D0%BE%D0%B2%D0%BE%D0%B9,%D1%81%D0%B8%D0%B3%D0%BD%D0%B0%D0%BB%20%D0%BF%D1%80%D0%B5%D0%B4%D1%81%D1%82%D0%B0%D0%B2%D0%BB%D0%B5%D0%BD%20%D0%B1%D0%B8%D0%BD%D0%B0%D1%80%D0%BD%D0%BE%D0%B9%20%D0%B7%D0%BE%D0%BD%D0%B4%D0%B8%D1%80%D1%83%D1%8E%D1%89%D0%B5%D0%B9%20%D1%84%D1%83%D0%BD%D0%BA%D1%86%D0%B8%D0%B5%D0%B9"</w:instrText>
      </w:r>
      <w:r>
        <w:rPr>
          <w:rStyle w:val="Hyperlink"/>
        </w:rPr>
        <w:fldChar w:fldCharType="separate"/>
      </w:r>
      <w:r>
        <w:rPr>
          <w:rStyle w:val="Hyperlink"/>
        </w:rPr>
        <w:t>[16]</w:t>
      </w:r>
      <w:r>
        <w:rPr>
          <w:rStyle w:val="Hyperlink"/>
        </w:rPr>
        <w:fldChar w:fldCharType="end"/>
      </w:r>
      <w:r>
        <w:rPr/>
        <w:t>. Это снижает время анализа за счет перебора фаз опорного сигнала. Метод позволяет определить частоту и амплитуду гармоник</w:t>
      </w:r>
      <w:r>
        <w:fldChar w:fldCharType="begin"/>
      </w:r>
      <w:r>
        <w:rPr>
          <w:rStyle w:val="Hyperlink"/>
        </w:rPr>
        <w:instrText xml:space="preserve"> HYPERLINK "https://patents.google.com/patent/RU2229139C1/ru" \l ":~:text=%D0%98%D0%B7%D0%BE%D0%B1%D1%80%D0%B5%D1%82%D0%B5%D0%BD%D0%B8%D0%B5%20%D0%BE%D1%82%D0%BD%D0%BE%D1%81%D0%B8%D1%82%D1%81%D1%8F%20%D0%BA%20%D0%BE%D0%B1%D0%BB%D0%B0%D1%81%D1%82%D0%B8%20%D1%86%D0%B8%D1%84%D1%80%D0%BE%D0%B2%D0%BE%D0%B9,%D1%81%D0%B8%D0%B3%D0%BD%D0%B0%D0%BB%20%D0%BF%D1%80%D0%B5%D0%B4%D1%81%D1%82%D0%B0%D0%B2%D0%BB%D0%B5%D0%BD%20%D0%B1%D0%B8%D0%BD%D0%B0%D1%80%D0%BD%D0%BE%D0%B9%20%D0%B7%D0%BE%D0%BD%D0%B4%D0%B8%D1%80%D1%83%D1%8E%D1%89%D0%B5%D0%B9%20%D1%84%D1%83%D0%BD%D0%BA%D1%86%D0%B8%D0%B5%D0%B9"</w:instrText>
      </w:r>
      <w:r>
        <w:rPr>
          <w:rStyle w:val="Hyperlink"/>
        </w:rPr>
        <w:fldChar w:fldCharType="separate"/>
      </w:r>
      <w:r>
        <w:rPr>
          <w:rStyle w:val="Hyperlink"/>
        </w:rPr>
        <w:t>[16]</w:t>
      </w:r>
      <w:r>
        <w:rPr>
          <w:rStyle w:val="Hyperlink"/>
        </w:rPr>
        <w:fldChar w:fldCharType="end"/>
      </w:r>
      <w:r>
        <w:rPr/>
        <w:t>;</w:t>
      </w:r>
    </w:p>
    <w:p>
      <w:pPr>
        <w:pStyle w:val="BodyText"/>
        <w:rPr/>
      </w:pPr>
      <w:r>
        <w:rPr>
          <w:b/>
          <w:bCs/>
        </w:rPr>
        <w:t>- SU 1709262 (1992, СССР):</w:t>
      </w:r>
      <w:r>
        <w:rPr/>
        <w:t xml:space="preserve"> «Калибратор периодических сигналов» (Живилов) – аппарат для генерации синусоидальных и шумоподобных сигналов. Скорее генератор, чем измеритель, но показывает интерес к периодическим сигналам;</w:t>
      </w:r>
    </w:p>
    <w:p>
      <w:pPr>
        <w:pStyle w:val="BodyText"/>
        <w:rPr/>
      </w:pPr>
      <w:r>
        <w:rPr>
          <w:b/>
          <w:bCs/>
        </w:rPr>
        <w:t>- RU2365924 (2009):</w:t>
      </w:r>
      <w:r>
        <w:rPr/>
        <w:t xml:space="preserve"> (описание на сайте allpatents) – способ измерения средней частоты периодических сигналов; детали неясны из открытых источников;</w:t>
      </w:r>
    </w:p>
    <w:p>
      <w:pPr>
        <w:pStyle w:val="BodyText"/>
        <w:rPr>
          <w:b/>
          <w:bCs/>
        </w:rPr>
      </w:pPr>
      <w:r>
        <w:rPr>
          <w:b/>
          <w:bCs/>
        </w:rPr>
        <w:t>- RU2740790 (2019?):</w:t>
      </w:r>
      <w:r>
        <w:rPr/>
        <w:t xml:space="preserve"> (по фрагментам поиска) – фокусируется на фазовой оценке в шуме (повышение точности фазовых измерений многочастотных сигналов). Указывает, что именно проблема наличия шумов актуальна;</w:t>
      </w:r>
    </w:p>
    <w:p>
      <w:pPr>
        <w:pStyle w:val="BodyText"/>
        <w:rPr/>
      </w:pPr>
      <w:r>
        <w:rPr/>
        <w:t>Так же, в открытом доступе много различных коммерческих осциллографов, однако необходимо отметить – осциллографы решают проблему измерения формы сигнала и являются универсальным самостоятельным диагностическим инструментом для человека. В данной работе рассматривается устройство, которое можно встроить в любую установку и использовать в составе этой установке. То есть человеко-машинный интерфейс не нужен, а вот функциональность нужна.</w:t>
      </w:r>
    </w:p>
    <w:p>
      <w:pPr>
        <w:pStyle w:val="BodyText"/>
        <w:rPr/>
      </w:pPr>
      <w:r>
        <w:rPr/>
        <w:t>По результатам поиска, патентов и готовых продуктов, специально заточенных на измерение амплитуды и частоты в присутствии помех (кроме генераторов/осциллографов), практически нет. Большинство публикаций и патентов предлагают лишь отдельные методы обработки или генерации сигналов</w:t>
      </w:r>
      <w:r>
        <w:fldChar w:fldCharType="begin"/>
      </w:r>
      <w:r>
        <w:rPr>
          <w:rStyle w:val="Hyperlink"/>
        </w:rPr>
        <w:instrText xml:space="preserve"> HYPERLINK "https://patents.google.com/patent/RU2229139C1/ru" \l ":~:text=%D0%98%D0%B7%D0%BE%D0%B1%D1%80%D0%B5%D1%82%D0%B5%D0%BD%D0%B8%D0%B5%20%D0%BE%D1%82%D0%BD%D0%BE%D1%81%D0%B8%D1%82%D1%81%D1%8F%20%D0%BA%20%D0%BE%D0%B1%D0%BB%D0%B0%D1%81%D1%82%D0%B8%20%D1%86%D0%B8%D1%84%D1%80%D0%BE%D0%B2%D0%BE%D0%B9,%D1%81%D0%B8%D0%B3%D0%BD%D0%B0%D0%BB%20%D0%BF%D1%80%D0%B5%D0%B4%D1%81%D1%82%D0%B0%D0%B2%D0%BB%D0%B5%D0%BD%20%D0%B1%D0%B8%D0%BD%D0%B0%D1%80%D0%BD%D0%BE%D0%B9%20%D0%B7%D0%BE%D0%BD%D0%B4%D0%B8%D1%80%D1%83%D1%8E%D1%89%D0%B5%D0%B9%20%D1%84%D1%83%D0%BD%D0%BA%D1%86%D0%B8%D0%B5%D0%B9"</w:instrText>
      </w:r>
      <w:r>
        <w:rPr>
          <w:rStyle w:val="Hyperlink"/>
        </w:rPr>
        <w:fldChar w:fldCharType="separate"/>
      </w:r>
      <w:r>
        <w:rPr>
          <w:rStyle w:val="Hyperlink"/>
        </w:rPr>
        <w:t>[16]</w:t>
      </w:r>
      <w:r>
        <w:rPr>
          <w:rStyle w:val="Hyperlink"/>
        </w:rPr>
        <w:fldChar w:fldCharType="end"/>
      </w:r>
      <w:r>
        <w:fldChar w:fldCharType="begin"/>
      </w:r>
      <w:r>
        <w:rPr>
          <w:rStyle w:val="Hyperlink"/>
        </w:rPr>
        <w:instrText xml:space="preserve"> HYPERLINK "https://patents.google.com/patent/RU2183839C1/ru" \l ":~:text=%D0%97%D0%B0%D0%B4%D0%B0%D1%87%D0%B0%20%D0%B8%D0%B7%D0%BC%D0%B5%D1%80%D0%B5%D0%BD%D0%B8%D1%8F%20%D1%87%D0%B0%D1%81%D1%82%D0%BE%D1%82%D1%8B%20%D1%81%D0%B8%D0%BD%D1%83%D1%81%D0%BE%D0%B8%D0%B4%D0%B0%D0%BB%D1%8C%D0%BD%D1%8B%D1%85%20%D1%81%D0%B8%D0%B3%D0%BD%D0%B0%D0%BB%D0%BE%D0%B2,3"</w:instrText>
      </w:r>
      <w:r>
        <w:rPr>
          <w:rStyle w:val="Hyperlink"/>
        </w:rPr>
        <w:fldChar w:fldCharType="separate"/>
      </w:r>
      <w:r>
        <w:rPr>
          <w:rStyle w:val="Hyperlink"/>
        </w:rPr>
        <w:t>[7]</w:t>
      </w:r>
      <w:r>
        <w:rPr>
          <w:rStyle w:val="Hyperlink"/>
        </w:rPr>
        <w:fldChar w:fldCharType="end"/>
      </w:r>
      <w:r>
        <w:rPr/>
        <w:t>.</w:t>
      </w:r>
    </w:p>
    <w:p>
      <w:pPr>
        <w:pStyle w:val="BodyText"/>
        <w:rPr/>
      </w:pPr>
      <w:r>
        <w:rPr/>
        <w:t>В таблице ниже приведено сравнение найденных патентов и прототипов:</w:t>
      </w:r>
    </w:p>
    <w:tbl>
      <w:tblPr>
        <w:tblW w:w="9571" w:type="dxa"/>
        <w:jc w:val="start"/>
        <w:tblInd w:w="0" w:type="dxa"/>
        <w:tblLayout w:type="fixed"/>
        <w:tblCellMar>
          <w:top w:w="0" w:type="dxa"/>
          <w:start w:w="108" w:type="dxa"/>
          <w:bottom w:w="0" w:type="dxa"/>
          <w:end w:w="108" w:type="dxa"/>
        </w:tblCellMar>
        <w:tblLook w:val="0020" w:noHBand="0" w:noVBand="0" w:firstColumn="0" w:lastRow="0" w:lastColumn="0" w:firstRow="1"/>
      </w:tblPr>
      <w:tblGrid>
        <w:gridCol w:w="2364"/>
        <w:gridCol w:w="4013"/>
        <w:gridCol w:w="3194"/>
      </w:tblGrid>
      <w:tr>
        <w:trPr>
          <w:tblHeader w:val="true"/>
        </w:trPr>
        <w:tc>
          <w:tcPr>
            <w:tcW w:w="2364" w:type="dxa"/>
            <w:tcBorders>
              <w:bottom w:val="single" w:sz="6" w:space="0" w:color="000000"/>
            </w:tcBorders>
            <w:shd w:color="auto" w:fill="auto" w:val="clear"/>
            <w:vAlign w:val="bottom"/>
          </w:tcPr>
          <w:p>
            <w:pPr>
              <w:pStyle w:val="Compact"/>
              <w:spacing w:before="36" w:after="36"/>
              <w:rPr/>
            </w:pPr>
            <w:r>
              <w:rPr/>
              <w:t>Патент/устройство</w:t>
            </w:r>
          </w:p>
        </w:tc>
        <w:tc>
          <w:tcPr>
            <w:tcW w:w="4013" w:type="dxa"/>
            <w:tcBorders>
              <w:bottom w:val="single" w:sz="6" w:space="0" w:color="000000"/>
            </w:tcBorders>
            <w:shd w:color="auto" w:fill="auto" w:val="clear"/>
            <w:vAlign w:val="bottom"/>
          </w:tcPr>
          <w:p>
            <w:pPr>
              <w:pStyle w:val="Compact"/>
              <w:spacing w:before="36" w:after="36"/>
              <w:rPr/>
            </w:pPr>
            <w:r>
              <w:rPr/>
              <w:t>Суть решения</w:t>
            </w:r>
          </w:p>
        </w:tc>
        <w:tc>
          <w:tcPr>
            <w:tcW w:w="3194" w:type="dxa"/>
            <w:tcBorders>
              <w:bottom w:val="single" w:sz="6" w:space="0" w:color="000000"/>
            </w:tcBorders>
            <w:shd w:color="auto" w:fill="auto" w:val="clear"/>
            <w:vAlign w:val="bottom"/>
          </w:tcPr>
          <w:p>
            <w:pPr>
              <w:pStyle w:val="Compact"/>
              <w:spacing w:before="36" w:after="36"/>
              <w:rPr/>
            </w:pPr>
            <w:r>
              <w:rPr/>
              <w:t>Комментарий</w:t>
            </w:r>
          </w:p>
        </w:tc>
      </w:tr>
      <w:tr>
        <w:trPr/>
        <w:tc>
          <w:tcPr>
            <w:tcW w:w="2364" w:type="dxa"/>
            <w:tcBorders/>
            <w:shd w:color="auto" w:fill="auto" w:val="clear"/>
          </w:tcPr>
          <w:p>
            <w:pPr>
              <w:pStyle w:val="Compact"/>
              <w:spacing w:before="36" w:after="36"/>
              <w:rPr/>
            </w:pPr>
            <w:r>
              <w:rPr/>
              <w:t>RU2183839C1 (2002)</w:t>
            </w:r>
            <w:r>
              <w:fldChar w:fldCharType="begin"/>
            </w:r>
            <w:r>
              <w:rPr>
                <w:rStyle w:val="Hyperlink"/>
              </w:rPr>
              <w:instrText xml:space="preserve"> HYPERLINK "https://patents.google.com/patent/RU2183839C1/ru" \l ":~:text=%D0%98%D0%B7%D0%BE%D0%B1%D1%80%D0%B5%D1%82%D0%B5%D0%BD%D0%B8%D0%B5%20%D0%BE%D1%82%D0%BD%D0%BE%D1%81%D0%B8%D1%82%D1%81%D1%8F%20%D0%BA%20%D1%82%D0%B5%D1%85%D0%BD%D0%B8%D0%BA%D0%B5%20%D1%81%D0%B2%D1%8F%D0%B7%D0%B8,%D0%B2%D0%BE%D1%81%D1%81%D1%82%D0%B0%D0%BD%D0%BE%D0%B2%D0%BB%D0%B5%D0%BD%D0%B8%D1%8F%20%D0%BD%D0%B5%D1%81%D1%83%D1%89%D0%B5%D0%B9%20%D1%87%D0%B0%D1%81%D1%82%D0%BE%D1%82%D1%8B%20%D1%84%D0%B0%D0%B7%D0%BE%D0%B2%D1%8B%D1%85%20%D0%B4%D0%B5%D0%BC%D0%BE%D0%B4%D1%83%D0%BB%D1%8F%D1%82%D0%BE%D1%80%D0%BE%D0%B2"</w:instrText>
            </w:r>
            <w:r>
              <w:rPr>
                <w:rStyle w:val="Hyperlink"/>
              </w:rPr>
              <w:fldChar w:fldCharType="separate"/>
            </w:r>
            <w:r>
              <w:rPr>
                <w:rStyle w:val="Hyperlink"/>
              </w:rPr>
              <w:t>[14]</w:t>
            </w:r>
            <w:r>
              <w:rPr>
                <w:rStyle w:val="Hyperlink"/>
              </w:rPr>
              <w:fldChar w:fldCharType="end"/>
            </w:r>
          </w:p>
        </w:tc>
        <w:tc>
          <w:tcPr>
            <w:tcW w:w="4013" w:type="dxa"/>
            <w:tcBorders/>
            <w:shd w:color="auto" w:fill="auto" w:val="clear"/>
          </w:tcPr>
          <w:p>
            <w:pPr>
              <w:pStyle w:val="Compact"/>
              <w:spacing w:before="36" w:after="36"/>
              <w:rPr/>
            </w:pPr>
            <w:r>
              <w:rPr/>
              <w:t>Измерение частоты через фазовый метод с рекуррентными формулами; реализовано на составе умножители+ФНЧ</w:t>
            </w:r>
          </w:p>
        </w:tc>
        <w:tc>
          <w:tcPr>
            <w:tcW w:w="3194" w:type="dxa"/>
            <w:tcBorders/>
            <w:shd w:color="auto" w:fill="auto" w:val="clear"/>
          </w:tcPr>
          <w:p>
            <w:pPr>
              <w:pStyle w:val="Compact"/>
              <w:spacing w:before="36" w:after="36"/>
              <w:rPr/>
            </w:pPr>
            <w:r>
              <w:rPr/>
              <w:t>Высокая скорость оценки, но сложная схема ФАПЧ; фокус на частоте.</w:t>
            </w:r>
          </w:p>
        </w:tc>
      </w:tr>
      <w:tr>
        <w:trPr/>
        <w:tc>
          <w:tcPr>
            <w:tcW w:w="2364" w:type="dxa"/>
            <w:tcBorders/>
            <w:shd w:color="auto" w:fill="auto" w:val="clear"/>
          </w:tcPr>
          <w:p>
            <w:pPr>
              <w:pStyle w:val="Compact"/>
              <w:spacing w:before="36" w:after="36"/>
              <w:rPr/>
            </w:pPr>
            <w:r>
              <w:rPr/>
              <w:t>RU2229139C1 (2004)</w:t>
            </w:r>
            <w:r>
              <w:fldChar w:fldCharType="begin"/>
            </w:r>
            <w:r>
              <w:rPr>
                <w:rStyle w:val="Hyperlink"/>
              </w:rPr>
              <w:instrText xml:space="preserve"> HYPERLINK "https://patents.google.com/patent/RU2229139C1/ru" \l ":~:text=%D0%98%D0%B7%D0%BE%D0%B1%D1%80%D0%B5%D1%82%D0%B5%D0%BD%D0%B8%D0%B5%20%D0%BE%D1%82%D0%BD%D0%BE%D1%81%D0%B8%D1%82%D1%81%D1%8F%20%D0%BA%20%D0%BE%D0%B1%D0%BB%D0%B0%D1%81%D1%82%D0%B8%20%D1%86%D0%B8%D1%84%D1%80%D0%BE%D0%B2%D0%BE%D0%B9,%D1%81%D0%B8%D0%B3%D0%BD%D0%B0%D0%BB%20%D0%BF%D1%80%D0%B5%D0%B4%D1%81%D1%82%D0%B0%D0%B2%D0%BB%D0%B5%D0%BD%20%D0%B1%D0%B8%D0%BD%D0%B0%D1%80%D0%BD%D0%BE%D0%B9%20%D0%B7%D0%BE%D0%BD%D0%B4%D0%B8%D1%80%D1%83%D1%8E%D1%89%D0%B5%D0%B9%20%D1%84%D1%83%D0%BD%D0%BA%D1%86%D0%B8%D0%B5%D0%B9"</w:instrText>
            </w:r>
            <w:r>
              <w:rPr>
                <w:rStyle w:val="Hyperlink"/>
              </w:rPr>
              <w:fldChar w:fldCharType="separate"/>
            </w:r>
            <w:r>
              <w:rPr>
                <w:rStyle w:val="Hyperlink"/>
              </w:rPr>
              <w:t>[16]</w:t>
            </w:r>
            <w:r>
              <w:rPr>
                <w:rStyle w:val="Hyperlink"/>
              </w:rPr>
              <w:fldChar w:fldCharType="end"/>
            </w:r>
          </w:p>
        </w:tc>
        <w:tc>
          <w:tcPr>
            <w:tcW w:w="4013" w:type="dxa"/>
            <w:tcBorders/>
            <w:shd w:color="auto" w:fill="auto" w:val="clear"/>
          </w:tcPr>
          <w:p>
            <w:pPr>
              <w:pStyle w:val="Compact"/>
              <w:spacing w:before="36" w:after="36"/>
              <w:rPr/>
            </w:pPr>
            <w:r>
              <w:rPr/>
              <w:t>Спектральный анализ сложных сигналов через перемножение с опорным сигналом (перебор фаз)</w:t>
            </w:r>
          </w:p>
        </w:tc>
        <w:tc>
          <w:tcPr>
            <w:tcW w:w="3194" w:type="dxa"/>
            <w:tcBorders/>
            <w:shd w:color="auto" w:fill="auto" w:val="clear"/>
          </w:tcPr>
          <w:p>
            <w:pPr>
              <w:pStyle w:val="Compact"/>
              <w:spacing w:before="36" w:after="36"/>
              <w:rPr/>
            </w:pPr>
            <w:r>
              <w:rPr/>
              <w:t>Ускоряет расчет спектра за счет бинарного опорного; ориентирован на анализ спектра.</w:t>
            </w:r>
          </w:p>
        </w:tc>
      </w:tr>
      <w:tr>
        <w:trPr/>
        <w:tc>
          <w:tcPr>
            <w:tcW w:w="2364" w:type="dxa"/>
            <w:tcBorders/>
            <w:shd w:color="auto" w:fill="auto" w:val="clear"/>
          </w:tcPr>
          <w:p>
            <w:pPr>
              <w:pStyle w:val="Compact"/>
              <w:spacing w:before="36" w:after="36"/>
              <w:rPr/>
            </w:pPr>
            <w:r>
              <w:rPr/>
              <w:t>SU1709262 (1992)</w:t>
            </w:r>
          </w:p>
        </w:tc>
        <w:tc>
          <w:tcPr>
            <w:tcW w:w="4013" w:type="dxa"/>
            <w:tcBorders/>
            <w:shd w:color="auto" w:fill="auto" w:val="clear"/>
          </w:tcPr>
          <w:p>
            <w:pPr>
              <w:pStyle w:val="Compact"/>
              <w:spacing w:before="36" w:after="36"/>
              <w:rPr/>
            </w:pPr>
            <w:r>
              <w:rPr/>
              <w:t>Генератор / калибратор периодических сигналов</w:t>
            </w:r>
          </w:p>
        </w:tc>
        <w:tc>
          <w:tcPr>
            <w:tcW w:w="3194" w:type="dxa"/>
            <w:tcBorders/>
            <w:shd w:color="auto" w:fill="auto" w:val="clear"/>
          </w:tcPr>
          <w:p>
            <w:pPr>
              <w:pStyle w:val="Compact"/>
              <w:spacing w:before="36" w:after="36"/>
              <w:rPr/>
            </w:pPr>
            <w:r>
              <w:rPr/>
              <w:t>Генерация эталонных сигналов (синусоид, шумов), не измеритель.</w:t>
            </w:r>
          </w:p>
        </w:tc>
      </w:tr>
      <w:tr>
        <w:trPr/>
        <w:tc>
          <w:tcPr>
            <w:tcW w:w="2364" w:type="dxa"/>
            <w:tcBorders/>
            <w:shd w:color="auto" w:fill="auto" w:val="clear"/>
          </w:tcPr>
          <w:p>
            <w:pPr>
              <w:pStyle w:val="Compact"/>
              <w:spacing w:before="36" w:after="36"/>
              <w:rPr/>
            </w:pPr>
            <w:r>
              <w:rPr/>
              <w:t>RU2365924 (2009)</w:t>
            </w:r>
          </w:p>
        </w:tc>
        <w:tc>
          <w:tcPr>
            <w:tcW w:w="4013" w:type="dxa"/>
            <w:tcBorders/>
            <w:shd w:color="auto" w:fill="auto" w:val="clear"/>
          </w:tcPr>
          <w:p>
            <w:pPr>
              <w:pStyle w:val="Compact"/>
              <w:spacing w:before="36" w:after="36"/>
              <w:rPr/>
            </w:pPr>
            <w:r>
              <w:rPr/>
              <w:t>Измерение средней частоты периодических сигналов</w:t>
            </w:r>
          </w:p>
        </w:tc>
        <w:tc>
          <w:tcPr>
            <w:tcW w:w="3194" w:type="dxa"/>
            <w:tcBorders/>
            <w:shd w:color="auto" w:fill="auto" w:val="clear"/>
          </w:tcPr>
          <w:p>
            <w:pPr>
              <w:pStyle w:val="Compact"/>
              <w:spacing w:before="36" w:after="36"/>
              <w:rPr/>
            </w:pPr>
            <w:r>
              <w:rPr/>
              <w:t>Подробностей нет (типа прямой метод счета), заявлено ЦИ-техникой.</w:t>
            </w:r>
          </w:p>
        </w:tc>
      </w:tr>
      <w:tr>
        <w:trPr/>
        <w:tc>
          <w:tcPr>
            <w:tcW w:w="2364" w:type="dxa"/>
            <w:tcBorders/>
            <w:shd w:color="auto" w:fill="auto" w:val="clear"/>
          </w:tcPr>
          <w:p>
            <w:pPr>
              <w:pStyle w:val="Compact"/>
              <w:spacing w:before="36" w:after="36"/>
              <w:rPr/>
            </w:pPr>
            <w:r>
              <w:rPr/>
              <w:t>Коммерческие приборы</w:t>
            </w:r>
          </w:p>
        </w:tc>
        <w:tc>
          <w:tcPr>
            <w:tcW w:w="4013" w:type="dxa"/>
            <w:tcBorders/>
            <w:shd w:color="auto" w:fill="auto" w:val="clear"/>
          </w:tcPr>
          <w:p>
            <w:pPr>
              <w:pStyle w:val="Compact"/>
              <w:spacing w:before="36" w:after="36"/>
              <w:rPr/>
            </w:pPr>
            <w:r>
              <w:rPr/>
              <w:t>Осциллографы / анализаторы спектра (Tektronix, Agilent)</w:t>
            </w:r>
            <w:r>
              <w:fldChar w:fldCharType="begin"/>
            </w:r>
            <w:r>
              <w:rPr>
                <w:rStyle w:val="Hyperlink"/>
              </w:rPr>
              <w:instrText xml:space="preserve"> HYPERLINK "https://uwbs.ru/development/example-measurements/" \l ":~:text=%D0%92%20%D0%BA%D0%B0%D1%87%D0%B5%D1%81%D1%82%D0%B2%D0%B5%20%D0%B8%D0%B7%D0%BC%D0%B5%D1%80%D0%B8%D1%82%D0%B5%D0%BB%D1%8F%20%D0%BF%D0%B0%D1%80%D0%B0%D0%BC%D0%B5%D1%82%D1%80%D0%BE%D0%B2%20%D1%81%D0%B8%D0%B3%D0%BD%D0%B0%D0%BB%D0%BE%D0%B2,%D0%BF%D0%BE%D0%B7%D0%B2%D0%BE%D0%BB%D1%8F%D0%B5%D1%82%20%D1%80%D0%B5%D0%B3%D0%B8%D1%81%D1%82%D1%80%D0%B8%D1%80%D0%BE%D0%B2%D0%B0%D1%82%D1%8C%20%D0%B8%D0%BC%D0%BF%D1%83%D0%BB%D1%8C%D1%81%D0%BD%D1%8B%D0%B5%20%D0%BE%D0%B4%D0%B8%D0%BD%D0%BE%D1%87%D0%BD%D1%8B%D0%B5%20%D1%81%D0%B8%D0%B3%D0%BD%D0%B0%D0%BB%D1%8B"</w:instrText>
            </w:r>
            <w:r>
              <w:rPr>
                <w:rStyle w:val="Hyperlink"/>
              </w:rPr>
              <w:fldChar w:fldCharType="separate"/>
            </w:r>
            <w:r>
              <w:rPr>
                <w:rStyle w:val="Hyperlink"/>
              </w:rPr>
              <w:t>[2]</w:t>
            </w:r>
            <w:r>
              <w:rPr>
                <w:rStyle w:val="Hyperlink"/>
              </w:rPr>
              <w:fldChar w:fldCharType="end"/>
            </w:r>
          </w:p>
        </w:tc>
        <w:tc>
          <w:tcPr>
            <w:tcW w:w="3194" w:type="dxa"/>
            <w:tcBorders/>
            <w:shd w:color="auto" w:fill="auto" w:val="clear"/>
          </w:tcPr>
          <w:p>
            <w:pPr>
              <w:pStyle w:val="Compact"/>
              <w:spacing w:before="36" w:after="36"/>
              <w:rPr/>
            </w:pPr>
            <w:r>
              <w:rPr/>
              <w:t>Готовые системы сбора и анализа сигналов; стоят дорого и крупны.</w:t>
            </w:r>
          </w:p>
        </w:tc>
      </w:tr>
    </w:tbl>
    <w:p>
      <w:pPr>
        <w:pStyle w:val="BodyText"/>
        <w:rPr/>
      </w:pPr>
      <w:r>
        <w:rPr/>
        <w:t>(Примечание: источники – описания патентов и спецификации).</w:t>
      </w:r>
    </w:p>
    <w:p>
      <w:pPr>
        <w:pStyle w:val="Heading2"/>
        <w:rPr/>
      </w:pPr>
      <w:bookmarkStart w:id="10" w:name="__RefHeading___Toc2167_1929968905"/>
      <w:bookmarkEnd w:id="10"/>
      <w:r>
        <w:rPr/>
        <w:t>8. Рекомендованный объем экспериментальной проверки</w:t>
      </w:r>
    </w:p>
    <w:p>
      <w:pPr>
        <w:pStyle w:val="BodyText"/>
        <w:rPr/>
      </w:pPr>
      <w:r>
        <w:rPr/>
        <w:t>Для проверки и подтверждения результатов исследований предлагается следующий экспериментальный план:</w:t>
      </w:r>
    </w:p>
    <w:p>
      <w:pPr>
        <w:pStyle w:val="BodyText"/>
        <w:rPr/>
      </w:pPr>
      <w:r>
        <w:rPr>
          <w:b/>
          <w:bCs/>
        </w:rPr>
        <w:t>Тестовые сигналы:</w:t>
      </w:r>
      <w:r>
        <w:rPr/>
        <w:t xml:space="preserve"> Использовать несколько видов периодических сигналов (синусоида, прямоугольник, треугольник) на разных частотах (например, 1 кГц – 100 кГц). Для каждого генерировать сигнал стабильного уровня.</w:t>
      </w:r>
    </w:p>
    <w:p>
      <w:pPr>
        <w:pStyle w:val="BodyText"/>
        <w:rPr/>
      </w:pPr>
      <w:r>
        <w:rPr>
          <w:b/>
          <w:bCs/>
        </w:rPr>
        <w:t>Модуляция помехами:</w:t>
      </w:r>
      <w:r>
        <w:rPr/>
        <w:t xml:space="preserve"> Подавать на вход устройства контролируемые помехи:</w:t>
      </w:r>
    </w:p>
    <w:p>
      <w:pPr>
        <w:pStyle w:val="BodyText"/>
        <w:rPr/>
      </w:pPr>
      <w:r>
        <w:rPr/>
        <w:t>аддитивный белый шум с разной амплитудой (менять SNR от, скажем, 0 до 40 дБ),</w:t>
      </w:r>
    </w:p>
    <w:p>
      <w:pPr>
        <w:pStyle w:val="BodyText"/>
        <w:rPr/>
      </w:pPr>
      <w:r>
        <w:rPr/>
        <w:t>узкополосные помехи (синусоиды сторонних частот),</w:t>
      </w:r>
    </w:p>
    <w:p>
      <w:pPr>
        <w:pStyle w:val="BodyText"/>
        <w:rPr/>
      </w:pPr>
      <w:r>
        <w:rPr/>
        <w:t>импульсные помехи (короткие выбросы).</w:t>
      </w:r>
    </w:p>
    <w:p>
      <w:pPr>
        <w:pStyle w:val="BodyText"/>
        <w:rPr/>
      </w:pPr>
      <w:r>
        <w:rPr>
          <w:b/>
          <w:bCs/>
        </w:rPr>
        <w:t>- Измерение погрешностей:</w:t>
      </w:r>
      <w:r>
        <w:rPr/>
        <w:t xml:space="preserve"> Сравнить измеренные системой амплитуды и частоты с эталонными. Построить графики погрешности vs SNR, vs уровень импульсных выбросов. Оценить стабильность измерения при длинном интегрировании (усреднении гистограммы);</w:t>
      </w:r>
    </w:p>
    <w:p>
      <w:pPr>
        <w:pStyle w:val="BodyText"/>
        <w:rPr>
          <w:lang w:val="en-US"/>
        </w:rPr>
      </w:pPr>
      <w:r>
        <w:rPr>
          <w:b/>
          <w:bCs/>
        </w:rPr>
        <w:t>- Сравнение методов:</w:t>
      </w:r>
      <w:r>
        <w:rPr/>
        <w:t xml:space="preserve"> Для оценки эффективности алгоритмов можно реализовать несколько стратегий на ПК: чистый FFT-анализ, метод корреляции, гистограммный. Сопоставить их результаты по точности и скорости вычисления</w:t>
      </w:r>
      <w:r>
        <w:rPr>
          <w:lang w:val="en-US"/>
        </w:rPr>
        <w:t>;</w:t>
      </w:r>
    </w:p>
    <w:p>
      <w:pPr>
        <w:pStyle w:val="BodyText"/>
        <w:rPr/>
      </w:pPr>
      <w:r>
        <w:rPr>
          <w:b/>
          <w:bCs/>
        </w:rPr>
        <w:t>- Тест погрешностей:</w:t>
      </w:r>
      <w:r>
        <w:rPr/>
        <w:t xml:space="preserve"> Измерить собственный шум системы (ждущий режим) и погрешность АЦП (шум квантования, привод), чтобы отделить ошибки алгоритма от аппаратных.</w:t>
      </w:r>
    </w:p>
    <w:p>
      <w:pPr>
        <w:pStyle w:val="BodyText"/>
        <w:rPr/>
      </w:pPr>
      <w:r>
        <w:rPr>
          <w:b/>
          <w:bCs/>
        </w:rPr>
        <w:t>- Интеграция в проект «Кристалл»:</w:t>
      </w:r>
      <w:r>
        <w:rPr/>
        <w:t xml:space="preserve"> Проверить в реальном применении: интегрировать измерительный тракт в отладочную установку тестирования микросхем («кристалл»), как было сделано в коммерческой версии проекта. Оценить надежность в рабочей среде (температура, электропомехи корпуса и т.д.);</w:t>
      </w:r>
    </w:p>
    <w:p>
      <w:pPr>
        <w:pStyle w:val="BodyText"/>
        <w:rPr/>
      </w:pPr>
      <w:r>
        <w:rPr>
          <w:b/>
          <w:bCs/>
        </w:rPr>
        <w:t>Требуемые компоненты и примерная стоимость:</w:t>
      </w:r>
      <w:r>
        <w:rPr/>
        <w:t xml:space="preserve"> Ниже приведена таблица с основными элементами макета (указанные цены ориентировочны, если неизвестно – «не указано»):</w:t>
      </w:r>
    </w:p>
    <w:tbl>
      <w:tblPr>
        <w:tblW w:w="9571" w:type="dxa"/>
        <w:jc w:val="start"/>
        <w:tblInd w:w="0" w:type="dxa"/>
        <w:tblLayout w:type="fixed"/>
        <w:tblCellMar>
          <w:top w:w="0" w:type="dxa"/>
          <w:start w:w="108" w:type="dxa"/>
          <w:bottom w:w="0" w:type="dxa"/>
          <w:end w:w="108" w:type="dxa"/>
        </w:tblCellMar>
        <w:tblLook w:val="0020" w:noHBand="0" w:noVBand="0" w:firstColumn="0" w:lastRow="0" w:lastColumn="0" w:firstRow="1"/>
      </w:tblPr>
      <w:tblGrid>
        <w:gridCol w:w="2728"/>
        <w:gridCol w:w="2008"/>
        <w:gridCol w:w="1828"/>
        <w:gridCol w:w="3006"/>
      </w:tblGrid>
      <w:tr>
        <w:trPr>
          <w:tblHeader w:val="true"/>
        </w:trPr>
        <w:tc>
          <w:tcPr>
            <w:tcW w:w="2728" w:type="dxa"/>
            <w:tcBorders>
              <w:bottom w:val="single" w:sz="6" w:space="0" w:color="000000"/>
            </w:tcBorders>
            <w:shd w:color="auto" w:fill="auto" w:val="clear"/>
            <w:vAlign w:val="bottom"/>
          </w:tcPr>
          <w:p>
            <w:pPr>
              <w:pStyle w:val="Compact"/>
              <w:spacing w:before="36" w:after="36"/>
              <w:rPr/>
            </w:pPr>
            <w:r>
              <w:rPr/>
              <w:t>Компонент</w:t>
            </w:r>
          </w:p>
        </w:tc>
        <w:tc>
          <w:tcPr>
            <w:tcW w:w="2008" w:type="dxa"/>
            <w:tcBorders>
              <w:bottom w:val="single" w:sz="6" w:space="0" w:color="000000"/>
            </w:tcBorders>
            <w:shd w:color="auto" w:fill="auto" w:val="clear"/>
            <w:vAlign w:val="bottom"/>
          </w:tcPr>
          <w:p>
            <w:pPr>
              <w:pStyle w:val="Compact"/>
              <w:spacing w:before="36" w:after="36"/>
              <w:rPr/>
            </w:pPr>
            <w:r>
              <w:rPr/>
              <w:t>Кол-во</w:t>
            </w:r>
          </w:p>
        </w:tc>
        <w:tc>
          <w:tcPr>
            <w:tcW w:w="1828" w:type="dxa"/>
            <w:tcBorders>
              <w:bottom w:val="single" w:sz="6" w:space="0" w:color="000000"/>
            </w:tcBorders>
            <w:shd w:color="auto" w:fill="auto" w:val="clear"/>
            <w:vAlign w:val="bottom"/>
          </w:tcPr>
          <w:p>
            <w:pPr>
              <w:pStyle w:val="Compact"/>
              <w:spacing w:before="36" w:after="36"/>
              <w:rPr/>
            </w:pPr>
            <w:r>
              <w:rPr/>
              <w:t>Примерная стоимость</w:t>
            </w:r>
          </w:p>
        </w:tc>
        <w:tc>
          <w:tcPr>
            <w:tcW w:w="3006" w:type="dxa"/>
            <w:tcBorders>
              <w:bottom w:val="single" w:sz="6" w:space="0" w:color="000000"/>
            </w:tcBorders>
            <w:shd w:color="auto" w:fill="auto" w:val="clear"/>
            <w:vAlign w:val="bottom"/>
          </w:tcPr>
          <w:p>
            <w:pPr>
              <w:pStyle w:val="Compact"/>
              <w:spacing w:before="36" w:after="36"/>
              <w:rPr/>
            </w:pPr>
            <w:r>
              <w:rPr/>
              <w:t>Примечание</w:t>
            </w:r>
          </w:p>
        </w:tc>
      </w:tr>
      <w:tr>
        <w:trPr/>
        <w:tc>
          <w:tcPr>
            <w:tcW w:w="2728" w:type="dxa"/>
            <w:tcBorders/>
            <w:shd w:color="auto" w:fill="auto" w:val="clear"/>
          </w:tcPr>
          <w:p>
            <w:pPr>
              <w:pStyle w:val="Compact"/>
              <w:spacing w:before="36" w:after="36"/>
              <w:rPr/>
            </w:pPr>
            <w:r>
              <w:rPr/>
              <w:t>МК STM32F407VGT6 (Cortex-M4)</w:t>
            </w:r>
          </w:p>
        </w:tc>
        <w:tc>
          <w:tcPr>
            <w:tcW w:w="2008" w:type="dxa"/>
            <w:tcBorders/>
            <w:shd w:color="auto" w:fill="auto" w:val="clear"/>
          </w:tcPr>
          <w:p>
            <w:pPr>
              <w:pStyle w:val="Compact"/>
              <w:spacing w:before="36" w:after="36"/>
              <w:rPr/>
            </w:pPr>
            <w:r>
              <w:rPr/>
              <w:t>1</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168</w:t>
            </w:r>
            <w:r>
              <w:rPr>
                <w:rFonts w:cs="Arial" w:ascii="Arial" w:hAnsi="Arial"/>
              </w:rPr>
              <w:t> </w:t>
            </w:r>
            <w:r>
              <w:rPr/>
              <w:t>МГц, 512 КБ Flash, LQFP100</w:t>
            </w:r>
            <w:r>
              <w:fldChar w:fldCharType="begin"/>
            </w:r>
            <w:r>
              <w:rPr>
                <w:rStyle w:val="Hyperlink"/>
              </w:rPr>
              <w:instrText xml:space="preserve"> HYPERLINK "https://www.st.com/resource/en/datasheet/dm00037051.pdf" \l ":~:text=Arm%C2%AE%20Cortex%C2%AE,wait%20state%20execution"</w:instrText>
            </w:r>
            <w:r>
              <w:rPr>
                <w:rStyle w:val="Hyperlink"/>
              </w:rPr>
              <w:fldChar w:fldCharType="separate"/>
            </w:r>
            <w:r>
              <w:rPr>
                <w:rStyle w:val="Hyperlink"/>
              </w:rPr>
              <w:t>[17]</w:t>
            </w:r>
            <w:r>
              <w:rPr>
                <w:rStyle w:val="Hyperlink"/>
              </w:rPr>
              <w:fldChar w:fldCharType="end"/>
            </w:r>
          </w:p>
        </w:tc>
      </w:tr>
      <w:tr>
        <w:trPr/>
        <w:tc>
          <w:tcPr>
            <w:tcW w:w="2728" w:type="dxa"/>
            <w:tcBorders/>
            <w:shd w:color="auto" w:fill="auto" w:val="clear"/>
          </w:tcPr>
          <w:p>
            <w:pPr>
              <w:pStyle w:val="Compact"/>
              <w:spacing w:before="36" w:after="36"/>
              <w:rPr/>
            </w:pPr>
            <w:r>
              <w:rPr/>
              <w:t>Внешний АЦП (Analog Devices)</w:t>
            </w:r>
          </w:p>
        </w:tc>
        <w:tc>
          <w:tcPr>
            <w:tcW w:w="2008" w:type="dxa"/>
            <w:tcBorders/>
            <w:shd w:color="auto" w:fill="auto" w:val="clear"/>
          </w:tcPr>
          <w:p>
            <w:pPr>
              <w:pStyle w:val="Compact"/>
              <w:spacing w:before="36" w:after="36"/>
              <w:rPr/>
            </w:pPr>
            <w:r>
              <w:rPr/>
              <w:t>1</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Высокоскоростной SAR ADC ~10-20 МГц</w:t>
            </w:r>
          </w:p>
        </w:tc>
      </w:tr>
      <w:tr>
        <w:trPr/>
        <w:tc>
          <w:tcPr>
            <w:tcW w:w="2728" w:type="dxa"/>
            <w:tcBorders/>
            <w:shd w:color="auto" w:fill="auto" w:val="clear"/>
          </w:tcPr>
          <w:p>
            <w:pPr>
              <w:pStyle w:val="Compact"/>
              <w:spacing w:before="36" w:after="36"/>
              <w:rPr/>
            </w:pPr>
            <w:r>
              <w:rPr/>
              <w:t>Тактовый генератор (кварц 25 МГц)</w:t>
            </w:r>
          </w:p>
        </w:tc>
        <w:tc>
          <w:tcPr>
            <w:tcW w:w="2008" w:type="dxa"/>
            <w:tcBorders/>
            <w:shd w:color="auto" w:fill="auto" w:val="clear"/>
          </w:tcPr>
          <w:p>
            <w:pPr>
              <w:pStyle w:val="Compact"/>
              <w:spacing w:before="36" w:after="36"/>
              <w:rPr/>
            </w:pPr>
            <w:r>
              <w:rPr/>
              <w:t>1</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Для опорного такта MCU/ADC</w:t>
            </w:r>
          </w:p>
        </w:tc>
      </w:tr>
      <w:tr>
        <w:trPr/>
        <w:tc>
          <w:tcPr>
            <w:tcW w:w="2728" w:type="dxa"/>
            <w:tcBorders/>
            <w:shd w:color="auto" w:fill="auto" w:val="clear"/>
          </w:tcPr>
          <w:p>
            <w:pPr>
              <w:pStyle w:val="Compact"/>
              <w:spacing w:before="36" w:after="36"/>
              <w:rPr/>
            </w:pPr>
            <w:r>
              <w:rPr/>
              <w:t>Операционный усилитель</w:t>
            </w:r>
          </w:p>
        </w:tc>
        <w:tc>
          <w:tcPr>
            <w:tcW w:w="2008" w:type="dxa"/>
            <w:tcBorders/>
            <w:shd w:color="auto" w:fill="auto" w:val="clear"/>
          </w:tcPr>
          <w:p>
            <w:pPr>
              <w:pStyle w:val="Compact"/>
              <w:spacing w:before="36" w:after="36"/>
              <w:rPr/>
            </w:pPr>
            <w:r>
              <w:rPr/>
              <w:t>1</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Для буферизации сигнала входа</w:t>
            </w:r>
          </w:p>
        </w:tc>
      </w:tr>
      <w:tr>
        <w:trPr/>
        <w:tc>
          <w:tcPr>
            <w:tcW w:w="2728" w:type="dxa"/>
            <w:tcBorders/>
            <w:shd w:color="auto" w:fill="auto" w:val="clear"/>
          </w:tcPr>
          <w:p>
            <w:pPr>
              <w:pStyle w:val="Compact"/>
              <w:spacing w:before="36" w:after="36"/>
              <w:rPr/>
            </w:pPr>
            <w:r>
              <w:rPr/>
              <w:t>Источник питания (3.3 В, 5 В)</w:t>
            </w:r>
          </w:p>
        </w:tc>
        <w:tc>
          <w:tcPr>
            <w:tcW w:w="2008" w:type="dxa"/>
            <w:tcBorders/>
            <w:shd w:color="auto" w:fill="auto" w:val="clear"/>
          </w:tcPr>
          <w:p>
            <w:pPr>
              <w:pStyle w:val="Compact"/>
              <w:spacing w:before="36" w:after="36"/>
              <w:rPr/>
            </w:pPr>
            <w:r>
              <w:rPr/>
              <w:t>1</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Регулируемый стабилизатор</w:t>
            </w:r>
          </w:p>
        </w:tc>
      </w:tr>
      <w:tr>
        <w:trPr/>
        <w:tc>
          <w:tcPr>
            <w:tcW w:w="2728" w:type="dxa"/>
            <w:tcBorders/>
            <w:shd w:color="auto" w:fill="auto" w:val="clear"/>
          </w:tcPr>
          <w:p>
            <w:pPr>
              <w:pStyle w:val="Compact"/>
              <w:spacing w:before="36" w:after="36"/>
              <w:rPr/>
            </w:pPr>
            <w:r>
              <w:rPr/>
              <w:t>Схема ввода/защиты (резистор, диод)</w:t>
            </w:r>
          </w:p>
        </w:tc>
        <w:tc>
          <w:tcPr>
            <w:tcW w:w="2008" w:type="dxa"/>
            <w:tcBorders/>
            <w:shd w:color="auto" w:fill="auto" w:val="clear"/>
          </w:tcPr>
          <w:p>
            <w:pPr>
              <w:pStyle w:val="Compact"/>
              <w:spacing w:before="36" w:after="36"/>
              <w:rPr/>
            </w:pPr>
            <w:r>
              <w:rPr/>
              <w:t>1</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Защита входа АЦП</w:t>
            </w:r>
          </w:p>
        </w:tc>
      </w:tr>
      <w:tr>
        <w:trPr/>
        <w:tc>
          <w:tcPr>
            <w:tcW w:w="2728" w:type="dxa"/>
            <w:tcBorders/>
            <w:shd w:color="auto" w:fill="auto" w:val="clear"/>
          </w:tcPr>
          <w:p>
            <w:pPr>
              <w:pStyle w:val="Compact"/>
              <w:spacing w:before="36" w:after="36"/>
              <w:rPr/>
            </w:pPr>
            <w:r>
              <w:rPr/>
              <w:t>USB-UART конвертер или Ethernet PHY</w:t>
            </w:r>
          </w:p>
        </w:tc>
        <w:tc>
          <w:tcPr>
            <w:tcW w:w="2008" w:type="dxa"/>
            <w:tcBorders/>
            <w:shd w:color="auto" w:fill="auto" w:val="clear"/>
          </w:tcPr>
          <w:p>
            <w:pPr>
              <w:pStyle w:val="Compact"/>
              <w:spacing w:before="36" w:after="36"/>
              <w:rPr/>
            </w:pPr>
            <w:r>
              <w:rPr/>
              <w:t>по необходимости</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Для передачи данных на ПК</w:t>
            </w:r>
          </w:p>
        </w:tc>
      </w:tr>
      <w:tr>
        <w:trPr/>
        <w:tc>
          <w:tcPr>
            <w:tcW w:w="2728" w:type="dxa"/>
            <w:tcBorders/>
            <w:shd w:color="auto" w:fill="auto" w:val="clear"/>
          </w:tcPr>
          <w:p>
            <w:pPr>
              <w:pStyle w:val="Compact"/>
              <w:spacing w:before="36" w:after="36"/>
              <w:rPr/>
            </w:pPr>
            <w:r>
              <w:rPr/>
              <w:t>Печатная плата (PCB)</w:t>
            </w:r>
          </w:p>
        </w:tc>
        <w:tc>
          <w:tcPr>
            <w:tcW w:w="2008" w:type="dxa"/>
            <w:tcBorders/>
            <w:shd w:color="auto" w:fill="auto" w:val="clear"/>
          </w:tcPr>
          <w:p>
            <w:pPr>
              <w:pStyle w:val="Compact"/>
              <w:spacing w:before="36" w:after="36"/>
              <w:rPr/>
            </w:pPr>
            <w:r>
              <w:rPr/>
              <w:t>1</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Макетная плата с разводкой</w:t>
            </w:r>
          </w:p>
        </w:tc>
      </w:tr>
    </w:tbl>
    <w:p>
      <w:pPr>
        <w:pStyle w:val="BodyText"/>
        <w:rPr/>
      </w:pPr>
      <w:r>
        <w:rPr/>
        <w:t>Источник: составлено автором (цены ориентировочные).</w:t>
      </w:r>
    </w:p>
    <w:p>
      <w:pPr>
        <w:pStyle w:val="BodyText"/>
        <w:rPr>
          <w:highlight w:val="magenta"/>
        </w:rPr>
      </w:pPr>
      <w:r>
        <w:rPr>
          <w:highlight w:val="magenta"/>
        </w:rPr>
        <w:t>Рекомендуемые рисунки (для включения):</w:t>
      </w:r>
    </w:p>
    <w:p>
      <w:pPr>
        <w:pStyle w:val="BodyText"/>
        <w:rPr>
          <w:highlight w:val="magenta"/>
        </w:rPr>
      </w:pPr>
      <w:r>
        <w:rPr>
          <w:i/>
          <w:iCs/>
          <w:highlight w:val="magenta"/>
        </w:rPr>
        <w:t>Блочная схема измерительного тракта:</w:t>
      </w:r>
      <w:r>
        <w:rPr>
          <w:highlight w:val="magenta"/>
        </w:rPr>
        <w:t xml:space="preserve"> входное согласование – АЦП – MCU – интерфейс – ПК.</w:t>
      </w:r>
    </w:p>
    <w:p>
      <w:pPr>
        <w:pStyle w:val="BodyText"/>
        <w:rPr>
          <w:highlight w:val="magenta"/>
        </w:rPr>
      </w:pPr>
      <w:r>
        <w:rPr>
          <w:i/>
          <w:iCs/>
          <w:highlight w:val="magenta"/>
        </w:rPr>
        <w:t>Пример гистограммы сигнала с помехой:</w:t>
      </w:r>
      <w:r>
        <w:rPr>
          <w:highlight w:val="magenta"/>
        </w:rPr>
        <w:t xml:space="preserve"> показ центрального пика и двух боковых (границы размаха).</w:t>
      </w:r>
    </w:p>
    <w:p>
      <w:pPr>
        <w:pStyle w:val="BodyText"/>
        <w:rPr>
          <w:highlight w:val="magenta"/>
        </w:rPr>
      </w:pPr>
      <w:r>
        <w:rPr>
          <w:i/>
          <w:iCs/>
          <w:highlight w:val="magenta"/>
        </w:rPr>
        <w:t>Графики влияния шума:</w:t>
      </w:r>
      <w:r>
        <w:rPr>
          <w:highlight w:val="magenta"/>
        </w:rPr>
        <w:t xml:space="preserve"> например, «погрешность измерения частоты vs SNR» или «амплитуда пика гистограммы vs уровень шума».</w:t>
      </w:r>
    </w:p>
    <w:p>
      <w:pPr>
        <w:pStyle w:val="BodyText"/>
        <w:rPr/>
      </w:pPr>
      <w:r>
        <w:rPr>
          <w:highlight w:val="magenta"/>
        </w:rPr>
        <w:t>(Если есть подходящие иллюстрации, их имеет смысл включить для наглядности.)</w:t>
      </w:r>
    </w:p>
    <w:p>
      <w:pPr>
        <w:pStyle w:val="BodyText"/>
        <w:rPr/>
      </w:pPr>
      <w:r>
        <w:rPr>
          <w:b/>
          <w:bCs/>
        </w:rPr>
        <w:t>Выводы главы:</w:t>
      </w:r>
      <w:r>
        <w:rPr/>
        <w:t xml:space="preserve"> Периодические сигналы широко применяются в радиоэлектронике и требовательны к качеству измерения в условиях шума. Множество методов измерения имеют свои преимущества и недостатки: аналоговые решения дешевы, но ограничены; цифровые даю гибкость, но требуют серьезной ЭВМ и высокой скорости выборки. Выбранный метод – оцифровка высокоскоростным АЦП и гистограммный/цифровой анализ на STM32F407+ПК – обеспечивает баланс «цена/производительность». Он позволяет стабильно извлекать амплитуду и частоту из зашумленного сигнала за счет большого числа отсчетов и мощной обработки. Результаты патентного поиска подтверждают, что эта комбинация аппаратного ускорителя (высокоскоростной АЦП) и программной гибкости – уникальна среди публично известных решений (за исключением лабораторных осциллографов)</w:t>
      </w:r>
      <w:r>
        <w:fldChar w:fldCharType="begin"/>
      </w:r>
      <w:r>
        <w:rPr>
          <w:rStyle w:val="Hyperlink"/>
        </w:rPr>
        <w:instrText xml:space="preserve"> HYPERLINK "https://uwbs.ru/development/example-measurements/" \l ":~:text=%D0%92%20%D0%BA%D0%B0%D1%87%D0%B5%D1%81%D1%82%D0%B2%D0%B5%20%D0%B8%D0%B7%D0%BC%D0%B5%D1%80%D0%B8%D1%82%D0%B5%D0%BB%D1%8F%20%D0%BF%D0%B0%D1%80%D0%B0%D0%BC%D0%B5%D1%82%D1%80%D0%BE%D0%B2%20%D1%81%D0%B8%D0%B3%D0%BD%D0%B0%D0%BB%D0%BE%D0%B2,%D0%BF%D0%BE%D0%B7%D0%B2%D0%BE%D0%BB%D1%8F%D0%B5%D1%82%20%D1%80%D0%B5%D0%B3%D0%B8%D1%81%D1%82%D1%80%D0%B8%D1%80%D0%BE%D0%B2%D0%B0%D1%82%D1%8C%20%D0%B8%D0%BC%D0%BF%D1%83%D0%BB%D1%8C%D1%81%D0%BD%D1%8B%D0%B5%20%D0%BE%D0%B4%D0%B8%D0%BD%D0%BE%D1%87%D0%BD%D1%8B%D0%B5%20%D1%81%D0%B8%D0%B3%D0%BD%D0%B0%D0%BB%D1%8B"</w:instrText>
      </w:r>
      <w:r>
        <w:rPr>
          <w:rStyle w:val="Hyperlink"/>
        </w:rPr>
        <w:fldChar w:fldCharType="separate"/>
      </w:r>
      <w:r>
        <w:rPr>
          <w:rStyle w:val="Hyperlink"/>
        </w:rPr>
        <w:t>[2]</w:t>
      </w:r>
      <w:r>
        <w:rPr>
          <w:rStyle w:val="Hyperlink"/>
        </w:rPr>
        <w:fldChar w:fldCharType="end"/>
      </w:r>
      <w:r>
        <w:fldChar w:fldCharType="begin"/>
      </w:r>
      <w:r>
        <w:rPr>
          <w:rStyle w:val="Hyperlink"/>
        </w:rPr>
        <w:instrText xml:space="preserve"> HYPERLINK "https://patents.google.com/patent/RU2229139C1/ru" \l ":~:text=%D0%98%D0%B7%D0%BE%D0%B1%D1%80%D0%B5%D1%82%D0%B5%D0%BD%D0%B8%D0%B5%20%D0%BE%D1%82%D0%BD%D0%BE%D1%81%D0%B8%D1%82%D1%81%D1%8F%20%D0%BA%20%D0%BE%D0%B1%D0%BB%D0%B0%D1%81%D1%82%D0%B8%20%D1%86%D0%B8%D1%84%D1%80%D0%BE%D0%B2%D0%BE%D0%B9,%D1%81%D0%B8%D0%B3%D0%BD%D0%B0%D0%BB%20%D0%BF%D1%80%D0%B5%D0%B4%D1%81%D1%82%D0%B0%D0%B2%D0%BB%D0%B5%D0%BD%20%D0%B1%D0%B8%D0%BD%D0%B0%D1%80%D0%BD%D0%BE%D0%B9%20%D0%B7%D0%BE%D0%BD%D0%B4%D0%B8%D1%80%D1%83%D1%8E%D1%89%D0%B5%D0%B9%20%D1%84%D1%83%D0%BD%D0%BA%D1%86%D0%B8%D0%B5%D0%B9"</w:instrText>
      </w:r>
      <w:r>
        <w:rPr>
          <w:rStyle w:val="Hyperlink"/>
        </w:rPr>
        <w:fldChar w:fldCharType="separate"/>
      </w:r>
      <w:r>
        <w:rPr>
          <w:rStyle w:val="Hyperlink"/>
        </w:rPr>
        <w:t>[16]</w:t>
      </w:r>
      <w:r>
        <w:rPr>
          <w:rStyle w:val="Hyperlink"/>
        </w:rPr>
        <w:fldChar w:fldCharType="end"/>
      </w:r>
      <w:r>
        <w:rPr/>
        <w:t>.</w:t>
      </w:r>
    </w:p>
    <w:p>
      <w:pPr>
        <w:pStyle w:val="BodyText"/>
        <w:rPr/>
      </w:pPr>
      <w:r>
        <w:rPr/>
      </w:r>
      <w:r>
        <w:br w:type="page"/>
      </w:r>
    </w:p>
    <w:p>
      <w:pPr>
        <w:pStyle w:val="Heading1"/>
        <w:numPr>
          <w:ilvl w:val="0"/>
          <w:numId w:val="1"/>
        </w:numPr>
        <w:spacing w:before="0" w:after="0"/>
        <w:ind w:firstLine="709"/>
        <w:rPr/>
      </w:pPr>
      <w:bookmarkStart w:id="11" w:name="__RefHeading___Toc229529023"/>
      <w:bookmarkEnd w:id="11"/>
      <w:r>
        <w:rPr/>
        <w:t>2. ПРЕДЛАГАЕМЫЕ СПОСОБЫ РЕШЕНИЯ ПРОБЛЕМЫ</w:t>
      </w:r>
    </w:p>
    <w:p>
      <w:pPr>
        <w:pStyle w:val="BodyText"/>
        <w:ind w:firstLine="709"/>
        <w:rPr/>
      </w:pPr>
      <w:r>
        <w:rPr/>
      </w:r>
    </w:p>
    <w:p>
      <w:pPr>
        <w:pStyle w:val="BodyText"/>
        <w:rPr/>
      </w:pPr>
      <w:r>
        <w:rPr/>
        <w:t xml:space="preserve">В этой главе рассмотрены возможные аппаратно-программные методы измерения амплитуды и частоты периодических сигналов в условиях помех. </w:t>
      </w:r>
      <w:r>
        <w:rPr>
          <w:b w:val="false"/>
          <w:bCs w:val="false"/>
        </w:rPr>
        <w:t>Раскрываются аналоговые методы (компараторы, триггер Шмитта, частотомеры, ФАПЧ, детекторы огибающей) и цифровые методы (оцифровка ADC+МК, FFT-анализ, определение по нулевым пересечениям, корреляция, гистограммный анализ, согласованный фильтр), а также специализированные FPGA/DSP-системы и</w:t>
      </w:r>
      <w:r>
        <w:rPr/>
        <w:t xml:space="preserve"> коммерческие приборы (осциллографы, анализаторы спектра). Для каждого способа описаны принцип действия, математическая модель (где применимо), сложность реализации, стоимость компонентов (если известна), требования к вычислениям и задержкам, устойчивость к шуму (влияние SNR, джиттера) и гибкость алгоритмов. Приведен обзор патентов (5–10) по измерению параметров периодических сигналов в шуме и сравнительная таблица. Даны два сводных сравнения: методы-критерии (сложность, стоимость, возможности обработки, гибкость, помехоустойчивость, точность) и варианты реализации (аналого-цифровое сравнение вариантов A–C). Подробно описан выбранный подход (STM32F407 + АЦП 18.6 MSPS, гистограмма амплитуд, подсчет среднего числа отсчетов на период) с указанием ожидаемой производительности и ограничений. Рассмотрены алгоритмы гистограммного анализа (псевдокод, сложность, статистика оценок при гауссовом и импульсном шуме) и альтернативные методы (FFT, корреляция). Приведена матрица решений под разные задачи (низкая цена, лабораторное исследование, реальное время) и план экспериментальной проверки (тестовые сигналы, метрики погрешностей, SNR-диапазон).</w:t>
      </w:r>
    </w:p>
    <w:p>
      <w:pPr>
        <w:pStyle w:val="BodyText"/>
        <w:rPr/>
      </w:pPr>
      <w:r>
        <w:rPr/>
      </w:r>
    </w:p>
    <w:p>
      <w:pPr>
        <w:pStyle w:val="Heading2"/>
        <w:rPr/>
      </w:pPr>
      <w:bookmarkStart w:id="12" w:name="__RefHeading___Toc2169_1929968905"/>
      <w:bookmarkStart w:id="13" w:name="аналоговые-методы_Copy_1"/>
      <w:bookmarkEnd w:id="12"/>
      <w:r>
        <w:rPr/>
        <w:t>2.1 Аналоговые методы</w:t>
      </w:r>
    </w:p>
    <w:p>
      <w:pPr>
        <w:pStyle w:val="BodyText"/>
        <w:rPr/>
      </w:pPr>
      <w:r>
        <w:rPr>
          <w:b w:val="false"/>
          <w:bCs w:val="false"/>
        </w:rPr>
        <w:t xml:space="preserve">Компаратор и пороговый детектор: </w:t>
      </w:r>
      <w:r>
        <w:rPr/>
        <w:t>Простейший способ – задать входу фиксированный порог (используя дифференциальный усилитель или компаратор) и формировать прямоугольные импульсы фронтов периода сигнала. Из числа таких импульсов за время $T_{\text{измер}}$ вычисляют частоту $f=N/T_{\text{измер}}$</w:t>
      </w:r>
      <w:r>
        <w:fldChar w:fldCharType="begin"/>
      </w:r>
      <w:r>
        <w:rPr>
          <w:rStyle w:val="Hyperlink"/>
        </w:rPr>
        <w:instrText xml:space="preserve"> HYPERLINK "https://studfile.net/preview/10417297/page:8/" \l ":~: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w:instrText>
      </w:r>
      <w:r>
        <w:rPr>
          <w:rStyle w:val="Hyperlink"/>
        </w:rPr>
        <w:fldChar w:fldCharType="separate"/>
      </w:r>
      <w:r>
        <w:rPr>
          <w:rStyle w:val="Hyperlink"/>
        </w:rPr>
        <w:t>[1]</w:t>
      </w:r>
      <w:r>
        <w:rPr>
          <w:rStyle w:val="Hyperlink"/>
        </w:rPr>
        <w:fldChar w:fldCharType="end"/>
      </w:r>
      <w:r>
        <w:rPr/>
        <w:t xml:space="preserve">. Минимальная сложность (достаточно одного ОУ или компаратора) и очень низкая стоимость. </w:t>
      </w:r>
      <w:r>
        <w:rPr>
          <w:i/>
          <w:iCs/>
        </w:rPr>
        <w:t>Недостаток:</w:t>
      </w:r>
      <w:r>
        <w:rPr/>
        <w:t xml:space="preserve"> сильная чувствительность к шуму на входе: шумовой импульс может вызвать ложный фронт, смещая счет. Разрешающая способность определяется стабильностью базового времени и количеством отсчетов (количество импульсов). Для простых гармоник метод работает быстро, но не позволяет оценивать форму сигнала, только частоту.</w:t>
      </w:r>
    </w:p>
    <w:p>
      <w:pPr>
        <w:pStyle w:val="BodyText"/>
        <w:rPr/>
      </w:pPr>
      <w:r>
        <w:rPr>
          <w:b w:val="false"/>
          <w:bCs w:val="false"/>
        </w:rPr>
        <w:t>Триггер Шмитта:</w:t>
      </w:r>
      <w:r>
        <w:rPr/>
        <w:t xml:space="preserve"> Улучшение компаратора – введение гистерезиса (два порога)</w:t>
      </w:r>
      <w:r>
        <w:fldChar w:fldCharType="begin"/>
      </w:r>
      <w:r>
        <w:rPr>
          <w:rStyle w:val="Hyperlink"/>
        </w:rPr>
        <w:instrText xml:space="preserve"> HYPERLINK "https://en.wikipedia.org/wiki/Schmitt_trigger" \l ":~:text=ImageComparison%20of%20the%20action%20of,remove%20noise%20from%20the%20signal"</w:instrText>
      </w:r>
      <w:r>
        <w:rPr>
          <w:rStyle w:val="Hyperlink"/>
        </w:rPr>
        <w:fldChar w:fldCharType="separate"/>
      </w:r>
      <w:r>
        <w:rPr>
          <w:rStyle w:val="Hyperlink"/>
        </w:rPr>
        <w:t>[2]</w:t>
      </w:r>
      <w:r>
        <w:rPr>
          <w:rStyle w:val="Hyperlink"/>
        </w:rPr>
        <w:fldChar w:fldCharType="end"/>
      </w:r>
      <w:r>
        <w:rPr/>
        <w:t>. При этом цепь устойчиво меняет состояние только при преодолении верхнего/нижнего порогов, что «отсекает» мелкие шумовые наводки</w:t>
      </w:r>
      <w:r>
        <w:fldChar w:fldCharType="begin"/>
      </w:r>
      <w:r>
        <w:rPr>
          <w:rStyle w:val="Hyperlink"/>
        </w:rPr>
        <w:instrText xml:space="preserve"> HYPERLINK "https://en.wikipedia.org/wiki/Schmitt_trigger" \l ":~:text=ImageComparison%20of%20the%20action%20of,remove%20noise%20from%20the%20signal"</w:instrText>
      </w:r>
      <w:r>
        <w:rPr>
          <w:rStyle w:val="Hyperlink"/>
        </w:rPr>
        <w:fldChar w:fldCharType="separate"/>
      </w:r>
      <w:r>
        <w:rPr>
          <w:rStyle w:val="Hyperlink"/>
        </w:rPr>
        <w:t>[2]</w:t>
      </w:r>
      <w:r>
        <w:rPr>
          <w:rStyle w:val="Hyperlink"/>
        </w:rPr>
        <w:fldChar w:fldCharType="end"/>
      </w:r>
      <w:r>
        <w:rPr/>
        <w:t xml:space="preserve">. Стоимость все еще невелика, схема чуть сложнее (несколько резисторов для гистерезиса), но повышается устойчивость к мелким помехам. </w:t>
      </w:r>
      <w:r>
        <w:rPr>
          <w:i/>
          <w:iCs/>
        </w:rPr>
        <w:t>Недостаток:</w:t>
      </w:r>
      <w:r>
        <w:rPr/>
        <w:t xml:space="preserve"> основные недостатки те же: фиксированный порог, чувствительность к большому джиттеру, ограничение на простые алгоритмы.</w:t>
      </w:r>
    </w:p>
    <w:p>
      <w:pPr>
        <w:pStyle w:val="BodyText"/>
        <w:rPr/>
      </w:pPr>
      <w:r>
        <w:rPr>
          <w:b w:val="false"/>
          <w:bCs w:val="false"/>
        </w:rPr>
        <w:t>Частотомер на прямом счете:</w:t>
      </w:r>
      <w:r>
        <w:rPr/>
        <w:t xml:space="preserve"> Стандартный способ (цифровой). Сигнал через формирователь (компаратор) подается на цифровой счетчик, который за фиксированное время $T_{\text{сч}}$ подсчитывает число импульсов $N$</w:t>
      </w:r>
      <w:r>
        <w:fldChar w:fldCharType="begin"/>
      </w:r>
      <w:r>
        <w:rPr>
          <w:rStyle w:val="Hyperlink"/>
        </w:rPr>
        <w:instrText xml:space="preserve"> HYPERLINK "https://studfile.net/preview/10417297/page:8/" \l ":~: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w:instrText>
      </w:r>
      <w:r>
        <w:rPr>
          <w:rStyle w:val="Hyperlink"/>
        </w:rPr>
        <w:fldChar w:fldCharType="separate"/>
      </w:r>
      <w:r>
        <w:rPr>
          <w:rStyle w:val="Hyperlink"/>
        </w:rPr>
        <w:t>[1]</w:t>
      </w:r>
      <w:r>
        <w:rPr>
          <w:rStyle w:val="Hyperlink"/>
        </w:rPr>
        <w:fldChar w:fldCharType="end"/>
      </w:r>
      <w:r>
        <w:rPr/>
        <w:t xml:space="preserve">. Тогда $f=N/T_{\text{сч}}$. Реализация требует источника точного такта (градуированного счетчика), но нет цифровой обработки формы сигнала. </w:t>
      </w:r>
      <w:r>
        <w:rPr>
          <w:i/>
          <w:iCs/>
        </w:rPr>
        <w:t>Плюс:</w:t>
      </w:r>
      <w:r>
        <w:rPr/>
        <w:t xml:space="preserve"> высокая точность при длительных измерениях, простота. </w:t>
      </w:r>
      <w:r>
        <w:rPr>
          <w:i/>
          <w:iCs/>
        </w:rPr>
        <w:t>Минус:</w:t>
      </w:r>
      <w:r>
        <w:rPr/>
        <w:t xml:space="preserve"> никаких метрик амплитуды, влияют шум и дребезг фронтов, разрешающая способность ~1/$T_{\text{сч}}$ (для улучшения нужно увеличивать время измерения и число бит счетчика).</w:t>
      </w:r>
    </w:p>
    <w:p>
      <w:pPr>
        <w:pStyle w:val="BodyText"/>
        <w:rPr/>
      </w:pPr>
      <w:r>
        <w:rPr>
          <w:b w:val="false"/>
          <w:bCs w:val="false"/>
        </w:rPr>
        <w:t xml:space="preserve">ФАПЧ (Phase-Locked Loop): </w:t>
      </w:r>
      <w:r>
        <w:rPr/>
        <w:t xml:space="preserve">Синхронизирует ВЧ-генератор (VCO) с исследуемым сигналом. По управляющему напряжению или счетчикам внутри ФАПЧ можно судить об отклонении частоты. </w:t>
      </w:r>
      <w:r>
        <w:rPr>
          <w:i/>
          <w:iCs/>
        </w:rPr>
        <w:t>Плюс:</w:t>
      </w:r>
      <w:r>
        <w:rPr/>
        <w:t xml:space="preserve"> автоматика подавляет некоторые шумы, можно генерировать чистый выход. </w:t>
      </w:r>
      <w:r>
        <w:rPr>
          <w:i/>
          <w:iCs/>
        </w:rPr>
        <w:t>Минус:</w:t>
      </w:r>
      <w:r>
        <w:rPr/>
        <w:t xml:space="preserve"> сложная схема (фазовый детектор, фильтр, генератор), низкая скорость реакции, измеряет лишь частоту. Большинство ФАПЧ-решений реализованы аппаратно (рис. синтезатора частоты); для прямого измерения параметров ФАПЧ не дает дополнительной информации об амплитуде или форме.</w:t>
      </w:r>
    </w:p>
    <w:p>
      <w:pPr>
        <w:pStyle w:val="BodyText"/>
        <w:rPr/>
      </w:pPr>
      <w:r>
        <w:rPr>
          <w:b w:val="false"/>
          <w:bCs w:val="false"/>
        </w:rPr>
        <w:t>Аналоговый детектор огибающей (энвелоп):</w:t>
      </w:r>
      <w:r>
        <w:rPr/>
        <w:t xml:space="preserve"> Часто используется в радиоприеме: сигнал выпрямляется (диод или операционный усилитель), сглаживается НЧ-фильтром – получается огибающая. Используется для оценки </w:t>
      </w:r>
      <w:r>
        <w:rPr>
          <w:i/>
          <w:iCs/>
        </w:rPr>
        <w:t>амплитуды</w:t>
      </w:r>
      <w:r>
        <w:rPr/>
        <w:t xml:space="preserve"> колебаний. Простейшие схемы стоят недорого и хорошо работают при медленном сигнале (низкой частоте относительно ответов элементов). </w:t>
      </w:r>
      <w:r>
        <w:rPr>
          <w:i/>
          <w:iCs/>
        </w:rPr>
        <w:t>Плюс:</w:t>
      </w:r>
      <w:r>
        <w:rPr/>
        <w:t xml:space="preserve"> простая оценка амплитуды без АЦП. </w:t>
      </w:r>
      <w:r>
        <w:rPr>
          <w:i/>
          <w:iCs/>
        </w:rPr>
        <w:t>Минус:</w:t>
      </w:r>
      <w:r>
        <w:rPr/>
        <w:t xml:space="preserve"> медленная реакция, нет оценки частоты, неустойчив при высокочастотных или импульсных помехах (диодный выпрямитель чувствителен к пиковым выбросам).</w:t>
      </w:r>
    </w:p>
    <w:p>
      <w:pPr>
        <w:pStyle w:val="BodyText"/>
        <w:rPr/>
      </w:pPr>
      <w:r>
        <w:rPr>
          <w:b w:val="false"/>
          <w:bCs w:val="false"/>
        </w:rPr>
        <w:t>Смарт-контроль (аналого-цифровой):</w:t>
      </w:r>
      <w:r>
        <w:rPr/>
        <w:t xml:space="preserve"> Сочетание описанных аналоговых фронтов и последующей выборки АЦП: например, сформировать компаратором «триггер» и использовать АЦП для измерения длительности или формы. Реализация сложнее, но предоставляет цифровой выход, который легко обрабатывать далее. Во многом переходит в категорию цифровых методов.</w:t>
      </w:r>
    </w:p>
    <w:p>
      <w:pPr>
        <w:pStyle w:val="BodyText"/>
        <w:rPr/>
      </w:pPr>
      <w:r>
        <w:rPr/>
        <w:t>Типич</w:t>
      </w:r>
      <w:r>
        <w:rPr>
          <w:b w:val="false"/>
          <w:bCs w:val="false"/>
        </w:rPr>
        <w:t xml:space="preserve">ные применения аналоговых методов: в дешевых встраиваемых системах для простой синхронизации, в </w:t>
      </w:r>
      <w:r>
        <w:rPr/>
        <w:t>устройствах реального времени с жесткими ограничениями по цене, когда нужна только «да-нет» обработка сигнала. Они мало подходят для анализа в шуме и требуют дополнительных средств фильтрации.</w:t>
      </w:r>
      <w:bookmarkEnd w:id="13"/>
    </w:p>
    <w:p>
      <w:pPr>
        <w:pStyle w:val="BodyText"/>
        <w:rPr/>
      </w:pPr>
      <w:r>
        <w:rPr/>
      </w:r>
    </w:p>
    <w:p>
      <w:pPr>
        <w:pStyle w:val="Heading2"/>
        <w:rPr/>
      </w:pPr>
      <w:bookmarkStart w:id="14" w:name="__RefHeading___Toc2171_1929968905"/>
      <w:bookmarkEnd w:id="14"/>
      <w:r>
        <w:rPr/>
        <w:t>2.2 Цифровые методы</w:t>
      </w:r>
    </w:p>
    <w:p>
      <w:pPr>
        <w:pStyle w:val="BodyText"/>
        <w:rPr/>
      </w:pPr>
      <w:r>
        <w:rPr>
          <w:b w:val="false"/>
          <w:bCs w:val="false"/>
        </w:rPr>
        <w:t>Оцифровка (ADC) + микроконтроллер (STM32F407 и прочие): Исходный сигнал полностью оцифровывается (в нашем случае с частотой до 18.6 Мвыб/с). В качестве примера STM32F407 – устройство с 168 МГц CPU, имеющее три 12-битных АЦП до 2.4 MS/s (до 7.2 MS/s при трехканальном режиме)</w:t>
      </w:r>
      <w:r>
        <w:fldChar w:fldCharType="begin"/>
      </w:r>
      <w:r>
        <w:rPr>
          <w:rStyle w:val="Hyperlink"/>
          <w:b w:val="false"/>
          <w:bCs w:val="false"/>
        </w:rPr>
        <w:instrText xml:space="preserve"> HYPERLINK "https://www.st.com/resource/en/datasheet/dm00037051.pdf" \l ":~:text=%E2%80%A2%203%C3%9712,MSPS%20in%20triple%20interleaved%20mode"</w:instrText>
      </w:r>
      <w:r>
        <w:rPr>
          <w:rStyle w:val="Hyperlink"/>
          <w:b w:val="false"/>
          <w:bCs w:val="false"/>
        </w:rPr>
        <w:fldChar w:fldCharType="separate"/>
      </w:r>
      <w:r>
        <w:rPr>
          <w:rStyle w:val="Hyperlink"/>
          <w:b w:val="false"/>
          <w:bCs w:val="false"/>
        </w:rPr>
        <w:t>[3]</w:t>
      </w:r>
      <w:r>
        <w:rPr>
          <w:rStyle w:val="Hyperlink"/>
          <w:b w:val="false"/>
          <w:bCs w:val="false"/>
        </w:rPr>
        <w:fldChar w:fldCharType="end"/>
      </w:r>
      <w:r>
        <w:rPr>
          <w:b w:val="false"/>
          <w:bCs w:val="false"/>
        </w:rPr>
        <w:t>. Для 18.6 MS/s применяется внешний быстрый ADC (например, семейства Analog Devices)</w:t>
      </w:r>
      <w:r>
        <w:fldChar w:fldCharType="begin"/>
      </w:r>
      <w:r>
        <w:rPr>
          <w:rStyle w:val="Hyperlink"/>
          <w:b w:val="false"/>
          <w:bCs w:val="false"/>
        </w:rPr>
        <w:instrText xml:space="preserve"> HYPERLINK "https://www.analog.com/en/product-category/high-speed-adcs.html" \l ":~:text=Analog%20Devices%E2%80%99%20high%20speed%20analog,10%20MSPS%20to%20125%20MSPS"</w:instrText>
      </w:r>
      <w:r>
        <w:rPr>
          <w:rStyle w:val="Hyperlink"/>
          <w:b w:val="false"/>
          <w:bCs w:val="false"/>
        </w:rPr>
        <w:fldChar w:fldCharType="separate"/>
      </w:r>
      <w:r>
        <w:rPr>
          <w:rStyle w:val="Hyperlink"/>
          <w:b w:val="false"/>
          <w:bCs w:val="false"/>
        </w:rPr>
        <w:t>[4]</w:t>
      </w:r>
      <w:r>
        <w:rPr>
          <w:rStyle w:val="Hyperlink"/>
          <w:b w:val="false"/>
          <w:bCs w:val="false"/>
        </w:rPr>
        <w:fldChar w:fldCharType="end"/>
      </w:r>
      <w:r>
        <w:rPr>
          <w:b w:val="false"/>
          <w:bCs w:val="false"/>
        </w:rPr>
        <w:t>. В STM32 данные поступают через периферию (обычно DMA/триггер от таймера) без загрузки ядра.</w:t>
      </w:r>
    </w:p>
    <w:p>
      <w:pPr>
        <w:pStyle w:val="BodyText"/>
        <w:rPr>
          <w:b w:val="false"/>
          <w:bCs w:val="false"/>
        </w:rPr>
      </w:pPr>
      <w:r>
        <w:rPr>
          <w:b w:val="false"/>
          <w:bCs w:val="false"/>
          <w:i/>
          <w:iCs/>
        </w:rPr>
        <w:t>Возможности:</w:t>
      </w:r>
      <w:r>
        <w:rPr>
          <w:b w:val="false"/>
          <w:bCs w:val="false"/>
        </w:rPr>
        <w:t xml:space="preserve"> все данные сигнала доступны, можно применять любые цифровые алгоритмы на выбор: БПФ, корреляция, поиск пиков, статистические оценки и т.д. Гибкость максимальна (перепрограммирование алгоритма в ПО).</w:t>
      </w:r>
    </w:p>
    <w:p>
      <w:pPr>
        <w:pStyle w:val="BodyText"/>
        <w:rPr/>
      </w:pPr>
      <w:r>
        <w:rPr>
          <w:b w:val="false"/>
          <w:bCs w:val="false"/>
          <w:i/>
          <w:iCs/>
        </w:rPr>
        <w:t>Недостатки:</w:t>
      </w:r>
      <w:r>
        <w:rPr>
          <w:b w:val="false"/>
          <w:bCs w:val="false"/>
        </w:rPr>
        <w:t xml:space="preserve"> дорогая и сложная схема (высокоскоростной АЦП, схемотехника ввода); нагрузка на память и CPU при высоких скоростях. На STM32 при 18.6 MS/s поток данных (~18.6 млн отс/с * 1–2 байта/отсчет) требует пропускной способности ~37–75 МБ/с (не считая FIFO DMA). Однако STM32F4 поддерживает DMA и ФПЗ с плавающей запятой</w:t>
      </w:r>
      <w:r>
        <w:fldChar w:fldCharType="begin"/>
      </w:r>
      <w:r>
        <w:rPr>
          <w:rStyle w:val="Hyperlink"/>
          <w:b w:val="false"/>
          <w:bCs w:val="false"/>
        </w:rPr>
        <w:instrText xml:space="preserve"> HYPERLINK "https://www.st.com/resource/en/application_note/an4841-digital-signal-processing-for-stm32-microcontrollers-using-cmsis-stmicroelectronics.pdf" \l ":~:text=Both%20Cortex%C2%AE,based%20STM32F7%20Series%20provide"</w:instrText>
      </w:r>
      <w:r>
        <w:rPr>
          <w:rStyle w:val="Hyperlink"/>
          <w:b w:val="false"/>
          <w:bCs w:val="false"/>
        </w:rPr>
        <w:fldChar w:fldCharType="separate"/>
      </w:r>
      <w:r>
        <w:rPr>
          <w:rStyle w:val="Hyperlink"/>
          <w:b w:val="false"/>
          <w:bCs w:val="false"/>
        </w:rPr>
        <w:t>[5]</w:t>
      </w:r>
      <w:r>
        <w:rPr>
          <w:rStyle w:val="Hyperlink"/>
          <w:b w:val="false"/>
          <w:bCs w:val="false"/>
        </w:rPr>
        <w:fldChar w:fldCharType="end"/>
      </w:r>
      <w:r>
        <w:rPr>
          <w:b w:val="false"/>
          <w:bCs w:val="false"/>
        </w:rPr>
        <w:t>, что позволяет выполнять часть обработки (свертки, простые БПФ) на самом контроллере.</w:t>
      </w:r>
    </w:p>
    <w:p>
      <w:pPr>
        <w:pStyle w:val="BodyText"/>
        <w:rPr/>
      </w:pPr>
      <w:r>
        <w:rPr>
          <w:b w:val="false"/>
          <w:bCs w:val="false"/>
          <w:i/>
          <w:iCs/>
        </w:rPr>
        <w:t>Применение:</w:t>
      </w:r>
      <w:r>
        <w:rPr>
          <w:b w:val="false"/>
          <w:bCs w:val="false"/>
        </w:rPr>
        <w:t xml:space="preserve"> универсальные приборы, осциллографы USB, SDR, встроенные анализаторы. Например, коммерческие цифровые осциллографы Tektronix 20 GS/s (см. ниже) – частный случай этого подхода</w:t>
      </w:r>
      <w:r>
        <w:fldChar w:fldCharType="begin"/>
      </w:r>
      <w:r>
        <w:rPr>
          <w:rStyle w:val="Hyperlink"/>
          <w:b w:val="false"/>
          <w:bCs w:val="false"/>
        </w:rPr>
        <w:instrText xml:space="preserve"> HYPERLINK "https://uwbs.ru/development/example-measurements/" \l ":~:text=%D0%92%20%D0%BA%D0%B0%D1%87%D0%B5%D1%81%D1%82%D0%B2%D0%B5%20%D0%B8%D0%B7%D0%BC%D0%B5%D1%80%D0%B8%D1%82%D0%B5%D0%BB%D1%8F%20%D0%BF%D0%B0%D1%80%D0%B0%D0%BC%D0%B5%D1%82%D1%80%D0%BE%D0%B2%20%D1%81%D0%B8%D0%B3%D0%BD%D0%B0%D0%BB%D0%BE%D0%B2,%D0%A2%D0%B0%D0%BA%D0%B6%D0%B5%20%D0%B8%D1%81%D0%BF%D0%BE%D0%BB%D1%8C%D0%B7%D0%BE%D0%B2%D0%B0%D0%BD%D0%B8%D0%B5%20%D1%82%D0%B5%D1%85%D0%BD%D0%BE%D0%BB%D0%BE%D0%B3%D0%B8%D0%B8%20%D1%86%D0%B8%D1%84%D1%80%D0%BE%D0%B2%D0%BE%D0%B3%D0%BE%20%D1%84%D0%BE%D1%81%D1%84%D0%BE%D1%80%D0%B0"</w:instrText>
      </w:r>
      <w:r>
        <w:rPr>
          <w:rStyle w:val="Hyperlink"/>
          <w:b w:val="false"/>
          <w:bCs w:val="false"/>
        </w:rPr>
        <w:fldChar w:fldCharType="separate"/>
      </w:r>
      <w:r>
        <w:rPr>
          <w:rStyle w:val="Hyperlink"/>
          <w:b w:val="false"/>
          <w:bCs w:val="false"/>
        </w:rPr>
        <w:t>[6]</w:t>
      </w:r>
      <w:r>
        <w:rPr>
          <w:rStyle w:val="Hyperlink"/>
          <w:b w:val="false"/>
          <w:bCs w:val="false"/>
        </w:rPr>
        <w:fldChar w:fldCharType="end"/>
      </w:r>
      <w:r>
        <w:rPr>
          <w:b w:val="false"/>
          <w:bCs w:val="false"/>
        </w:rPr>
        <w:t>. В нашем макете STM32F407 и быстрый ADC позволяют формировать гистограмму амплитуд и подсчитывать среднее число отсчетов в период без дополнительной дорогой логики.</w:t>
      </w:r>
    </w:p>
    <w:p>
      <w:pPr>
        <w:pStyle w:val="BodyText"/>
        <w:rPr/>
      </w:pPr>
      <w:r>
        <w:rPr>
          <w:b w:val="false"/>
          <w:bCs w:val="false"/>
        </w:rPr>
        <w:t>Быстрое преобразование Фурье (FFT): Преобразует N-отсчетный временной сигнал в спектр гармоник. Требует выборки фиксированного размера $N$ (с амплитудным окном или без). Разрешение по частоте $\Delta f = F_s/N$ (где $F_s$ – частота дискретизации). Алгоритм FFT эффективен (O(N log N))</w:t>
      </w:r>
      <w:r>
        <w:fldChar w:fldCharType="begin"/>
      </w:r>
      <w:r>
        <w:rPr>
          <w:rStyle w:val="Hyperlink"/>
          <w:b w:val="false"/>
          <w:bCs w:val="false"/>
        </w:rPr>
        <w:instrText xml:space="preserve"> HYPERLINK "https://www.st.com/resource/en/application_note/an4841-digital-signal-processing-for-stm32-microcontrollers-using-cmsis-stmicroelectronics.pdf" \l ":~:text=The%20FFT%20,domain%20signal%20based%20on"</w:instrText>
      </w:r>
      <w:r>
        <w:rPr>
          <w:rStyle w:val="Hyperlink"/>
          <w:b w:val="false"/>
          <w:bCs w:val="false"/>
        </w:rPr>
        <w:fldChar w:fldCharType="separate"/>
      </w:r>
      <w:r>
        <w:rPr>
          <w:rStyle w:val="Hyperlink"/>
          <w:b w:val="false"/>
          <w:bCs w:val="false"/>
        </w:rPr>
        <w:t>[7]</w:t>
      </w:r>
      <w:r>
        <w:rPr>
          <w:rStyle w:val="Hyperlink"/>
          <w:b w:val="false"/>
          <w:bCs w:val="false"/>
        </w:rPr>
        <w:fldChar w:fldCharType="end"/>
      </w:r>
      <w:r>
        <w:rPr>
          <w:b w:val="false"/>
          <w:bCs w:val="false"/>
        </w:rPr>
        <w:t>, но для встроенного МК с CSiS-библиотекой уступает аппаратному решению. Например, FFT на STM32F407 FPU может выполнять преобразование для $N\sim1024\div4096$ за сотни тысяч тактов</w:t>
      </w:r>
      <w:r>
        <w:fldChar w:fldCharType="begin"/>
      </w:r>
      <w:r>
        <w:rPr>
          <w:rStyle w:val="Hyperlink"/>
          <w:b w:val="false"/>
          <w:bCs w:val="false"/>
        </w:rPr>
        <w:instrText xml:space="preserve"> HYPERLINK "https://www.st.com/resource/en/application_note/an4841-digital-signal-processing-for-stm32-microcontrollers-using-cmsis-stmicroelectronics.pdf" \l ":~:text=Both%20Cortex%C2%AE,based%20STM32F7%20Series%20provide"</w:instrText>
      </w:r>
      <w:r>
        <w:rPr>
          <w:rStyle w:val="Hyperlink"/>
          <w:b w:val="false"/>
          <w:bCs w:val="false"/>
        </w:rPr>
        <w:fldChar w:fldCharType="separate"/>
      </w:r>
      <w:r>
        <w:rPr>
          <w:rStyle w:val="Hyperlink"/>
          <w:b w:val="false"/>
          <w:bCs w:val="false"/>
        </w:rPr>
        <w:t>[5]</w:t>
      </w:r>
      <w:r>
        <w:rPr>
          <w:rStyle w:val="Hyperlink"/>
          <w:b w:val="false"/>
          <w:bCs w:val="false"/>
        </w:rPr>
        <w:fldChar w:fldCharType="end"/>
      </w:r>
      <w:r>
        <w:fldChar w:fldCharType="begin"/>
      </w:r>
      <w:r>
        <w:rPr>
          <w:rStyle w:val="Hyperlink"/>
          <w:b w:val="false"/>
          <w:bCs w:val="false"/>
        </w:rPr>
        <w:instrText xml:space="preserve"> HYPERLINK "https://www.st.com/resource/en/application_note/an4841-digital-signal-processing-for-stm32-microcontrollers-using-cmsis-stmicroelectronics.pdf" \l ":~:text=The%20FFT%20,domain%20signal%20based%20on"</w:instrText>
      </w:r>
      <w:r>
        <w:rPr>
          <w:rStyle w:val="Hyperlink"/>
          <w:b w:val="false"/>
          <w:bCs w:val="false"/>
        </w:rPr>
        <w:fldChar w:fldCharType="separate"/>
      </w:r>
      <w:r>
        <w:rPr>
          <w:rStyle w:val="Hyperlink"/>
          <w:b w:val="false"/>
          <w:bCs w:val="false"/>
        </w:rPr>
        <w:t>[7]</w:t>
      </w:r>
      <w:r>
        <w:rPr>
          <w:rStyle w:val="Hyperlink"/>
          <w:b w:val="false"/>
          <w:bCs w:val="false"/>
        </w:rPr>
        <w:fldChar w:fldCharType="end"/>
      </w:r>
      <w:r>
        <w:rPr>
          <w:b w:val="false"/>
          <w:bCs w:val="false"/>
        </w:rPr>
        <w:t xml:space="preserve">. </w:t>
      </w:r>
      <w:r>
        <w:rPr>
          <w:b w:val="false"/>
          <w:bCs w:val="false"/>
          <w:i/>
          <w:iCs/>
        </w:rPr>
        <w:t>Плюс:</w:t>
      </w:r>
      <w:r>
        <w:rPr>
          <w:b w:val="false"/>
          <w:bCs w:val="false"/>
        </w:rPr>
        <w:t xml:space="preserve"> вычисляется полный спектр гармоник, легко получить частоту по максимуму спектра. </w:t>
      </w:r>
      <w:r>
        <w:rPr>
          <w:b w:val="false"/>
          <w:bCs w:val="false"/>
          <w:i/>
          <w:iCs/>
        </w:rPr>
        <w:t>Минус:</w:t>
      </w:r>
      <w:r>
        <w:rPr>
          <w:b w:val="false"/>
          <w:bCs w:val="false"/>
        </w:rPr>
        <w:t xml:space="preserve"> требуется собирать и обрабатывать большие массивы данных (занимает память $O(N)$), не дает мгновенных оценок (задержка = время записи $N$ отсчетов). Для устойчивости требуется оконная обработка (во избежание утечки спектра).</w:t>
      </w:r>
    </w:p>
    <w:p>
      <w:pPr>
        <w:pStyle w:val="BodyText"/>
        <w:rPr>
          <w:b w:val="false"/>
          <w:bCs w:val="false"/>
        </w:rPr>
      </w:pPr>
      <w:r>
        <w:rPr>
          <w:b w:val="false"/>
          <w:bCs w:val="false"/>
        </w:rPr>
        <w:t xml:space="preserve">Нулевые пересечения (Zero-Crossing): Измерение периодов по прохождению сигнала уровня нуля (или заданного уровня). Если сигнал чистый и синусоидальный, можно измерять интервалы между пересечениями (или фронтами), усредняя их. </w:t>
      </w:r>
      <w:r>
        <w:rPr>
          <w:b w:val="false"/>
          <w:bCs w:val="false"/>
          <w:i/>
          <w:iCs/>
        </w:rPr>
        <w:t>Плюс:</w:t>
      </w:r>
      <w:r>
        <w:rPr>
          <w:b w:val="false"/>
          <w:bCs w:val="false"/>
        </w:rPr>
        <w:t xml:space="preserve"> простая реализация (сигнал → компаратор → таймер). </w:t>
      </w:r>
      <w:r>
        <w:rPr>
          <w:b w:val="false"/>
          <w:bCs w:val="false"/>
          <w:i/>
          <w:iCs/>
        </w:rPr>
        <w:t>Минус:</w:t>
      </w:r>
      <w:r>
        <w:rPr>
          <w:b w:val="false"/>
          <w:bCs w:val="false"/>
        </w:rPr>
        <w:t xml:space="preserve"> при наличии гармоник и помех пересечения происходят в разных точках, даются разные времена (появляется джиттер). Для мультигармонических сигналов метод дает низкую точность. Устойчивость невысока: шум вызывает дрожание точек пересечения.</w:t>
      </w:r>
    </w:p>
    <w:p>
      <w:pPr>
        <w:pStyle w:val="BodyText"/>
        <w:rPr/>
      </w:pPr>
      <w:r>
        <w:rPr>
          <w:b w:val="false"/>
          <w:bCs w:val="false"/>
        </w:rPr>
        <w:t>Автокорреляция: Сигнал автокоррелируют с самим собой со сдвигом $\tau$. Для периодического сигнала автокорреляционная функция (АКФ) является периодической и показывает пики через каждый $T$</w:t>
      </w:r>
      <w:r>
        <w:fldChar w:fldCharType="begin"/>
      </w:r>
      <w:r>
        <w:rPr>
          <w:rStyle w:val="Hyperlink"/>
          <w:b w:val="false"/>
          <w:bCs w:val="false"/>
        </w:rPr>
        <w:instrText xml:space="preserve"> HYPERLINK "https://ru.wikipedia.org/wiki/%D0%90%D0%B2%D1%82%D0%BE%D0%BA%D0%BE%D1%80%D1%80%D0%B5%D0%BB%D1%8F%D1%86%D0%B8%D0%BE%D0%BD%D0%BD%D0%B0%D1%8F_%D1%84%D1%83%D0%BD%D0%BA%D1%86%D0%B8%D1%8F" \l ":~:text=%D0%95%D1%81%D0%BB%D0%B8%20%D0%B8%D1%81%D1%85%D0%BE%D0%B4%D0%BD%D0%B0%D1%8F%20%D1%84%D1%83%D0%BD%D0%BA%D1%86%D0%B8%D1%8F%20%D1%81%D1%82%D1%80%D0%BE%D0%B3%D0%BE%20%D0%BF%D0%B5%D1%80%D0%B8%D0%BE%D0%B4%D0%B8%D1%87%D0%B5%D1%81%D0%BA%D0%B0%D1%8F,75%2C%20%D0%BD%D0%B0%D0%BF%D1%80%D0%B8%D0%BC%D0%B5%D1%80%2C%20%D1%8D%D0%BB%D0%B5%D0%BA%D1%82%D1%80%D0%BE%D1%8D%D0%BD%D1%86%D0%B5%D1%84%D0%B0%D0%BB%D0%BE%D0%B3%D1%80%D0%B0%D0%BC%D0%BC%D1%8B%20%D1%87%D0%B5%D0%BB%D0%BE%D0%B2%D0%B5%D0%BA%D0%B0"</w:instrText>
      </w:r>
      <w:r>
        <w:rPr>
          <w:rStyle w:val="Hyperlink"/>
          <w:b w:val="false"/>
          <w:bCs w:val="false"/>
        </w:rPr>
        <w:fldChar w:fldCharType="separate"/>
      </w:r>
      <w:r>
        <w:rPr>
          <w:rStyle w:val="Hyperlink"/>
          <w:b w:val="false"/>
          <w:bCs w:val="false"/>
        </w:rPr>
        <w:t>[8]</w:t>
      </w:r>
      <w:r>
        <w:rPr>
          <w:rStyle w:val="Hyperlink"/>
          <w:b w:val="false"/>
          <w:bCs w:val="false"/>
        </w:rPr>
        <w:fldChar w:fldCharType="end"/>
      </w:r>
      <w:r>
        <w:rPr>
          <w:b w:val="false"/>
          <w:bCs w:val="false"/>
        </w:rPr>
        <w:t xml:space="preserve">. По положению первого максимума АКФ оценивают период сигнала. </w:t>
      </w:r>
      <w:r>
        <w:rPr>
          <w:b w:val="false"/>
          <w:bCs w:val="false"/>
          <w:i/>
          <w:iCs/>
        </w:rPr>
        <w:t>Плюс:</w:t>
      </w:r>
      <w:r>
        <w:rPr>
          <w:b w:val="false"/>
          <w:bCs w:val="false"/>
        </w:rPr>
        <w:t xml:space="preserve"> корректно находит период в шуме, хорошо работает для сигнала произвольной формы</w:t>
      </w:r>
      <w:r>
        <w:fldChar w:fldCharType="begin"/>
      </w:r>
      <w:r>
        <w:rPr>
          <w:rStyle w:val="Hyperlink"/>
          <w:b w:val="false"/>
          <w:bCs w:val="false"/>
        </w:rPr>
        <w:instrText xml:space="preserve"> HYPERLINK "https://ru.wikipedia.org/wiki/%D0%90%D0%B2%D1%82%D0%BE%D0%BA%D0%BE%D1%80%D1%80%D0%B5%D0%BB%D1%8F%D1%86%D0%B8%D0%BE%D0%BD%D0%BD%D0%B0%D1%8F_%D1%84%D1%83%D0%BD%D0%BA%D1%86%D0%B8%D1%8F" \l ":~:text=%D0%95%D1%81%D0%BB%D0%B8%20%D0%B8%D1%81%D1%85%D0%BE%D0%B4%D0%BD%D0%B0%D1%8F%20%D1%84%D1%83%D0%BD%D0%BA%D1%86%D0%B8%D1%8F%20%D1%81%D1%82%D1%80%D0%BE%D0%B3%D0%BE%20%D0%BF%D0%B5%D1%80%D0%B8%D0%BE%D0%B4%D0%B8%D1%87%D0%B5%D1%81%D0%BA%D0%B0%D1%8F,75%2C%20%D0%BD%D0%B0%D0%BF%D1%80%D0%B8%D0%BC%D0%B5%D1%80%2C%20%D1%8D%D0%BB%D0%B5%D0%BA%D1%82%D1%80%D0%BE%D1%8D%D0%BD%D1%86%D0%B5%D1%84%D0%B0%D0%BB%D0%BE%D0%B3%D1%80%D0%B0%D0%BC%D0%BC%D1%8B%20%D1%87%D0%B5%D0%BB%D0%BE%D0%B2%D0%B5%D0%BA%D0%B0"</w:instrText>
      </w:r>
      <w:r>
        <w:rPr>
          <w:rStyle w:val="Hyperlink"/>
          <w:b w:val="false"/>
          <w:bCs w:val="false"/>
        </w:rPr>
        <w:fldChar w:fldCharType="separate"/>
      </w:r>
      <w:r>
        <w:rPr>
          <w:rStyle w:val="Hyperlink"/>
          <w:b w:val="false"/>
          <w:bCs w:val="false"/>
        </w:rPr>
        <w:t>[8]</w:t>
      </w:r>
      <w:r>
        <w:rPr>
          <w:rStyle w:val="Hyperlink"/>
          <w:b w:val="false"/>
          <w:bCs w:val="false"/>
        </w:rPr>
        <w:fldChar w:fldCharType="end"/>
      </w:r>
      <w:r>
        <w:rPr>
          <w:b w:val="false"/>
          <w:bCs w:val="false"/>
        </w:rPr>
        <w:t xml:space="preserve">. </w:t>
      </w:r>
      <w:r>
        <w:rPr>
          <w:b w:val="false"/>
          <w:bCs w:val="false"/>
          <w:i/>
          <w:iCs/>
        </w:rPr>
        <w:t>Минус:</w:t>
      </w:r>
      <w:r>
        <w:rPr>
          <w:b w:val="false"/>
          <w:bCs w:val="false"/>
        </w:rPr>
        <w:t xml:space="preserve"> требует значительных вычислений ($O(N^2)$ прямым методом, $O(N\log N)$ через БПФ) и хранения $O(N)$ отсчетов. На STM32F407 без DSP-сопроцессора и больших объемов памяти практически не реализуем. Чаще используют в DSP/Matlab.</w:t>
      </w:r>
    </w:p>
    <w:p>
      <w:pPr>
        <w:pStyle w:val="BodyText"/>
        <w:rPr>
          <w:b w:val="false"/>
          <w:bCs w:val="false"/>
        </w:rPr>
      </w:pPr>
      <w:r>
        <w:rPr>
          <w:b w:val="false"/>
          <w:bCs w:val="false"/>
        </w:rPr>
        <w:t xml:space="preserve">Согласованный фильтр (Matched Filter): Оптимальное линейное устройство для детектирования заранее известного сигнала в аддитивном белом шуме (максимизирует SNR). Требуется априорное знание формы сигнала и его отклика. Реализуется как корреляция входа с шаблоном. </w:t>
      </w:r>
      <w:r>
        <w:rPr>
          <w:b w:val="false"/>
          <w:bCs w:val="false"/>
          <w:i/>
          <w:iCs/>
        </w:rPr>
        <w:t>Плюс:</w:t>
      </w:r>
      <w:r>
        <w:rPr>
          <w:b w:val="false"/>
          <w:bCs w:val="false"/>
        </w:rPr>
        <w:t xml:space="preserve"> максимальная помехоустойчивость при точно известном шаблоне сигнала. </w:t>
      </w:r>
      <w:r>
        <w:rPr>
          <w:b w:val="false"/>
          <w:bCs w:val="false"/>
          <w:i/>
          <w:iCs/>
        </w:rPr>
        <w:t>Минус:</w:t>
      </w:r>
      <w:r>
        <w:rPr>
          <w:b w:val="false"/>
          <w:bCs w:val="false"/>
        </w:rPr>
        <w:t xml:space="preserve"> низкая гибкость (нужен шаблон), высокие вычисления (FFT-кросс-корреляция или FIR-фильтр длины $N$).</w:t>
      </w:r>
    </w:p>
    <w:p>
      <w:pPr>
        <w:pStyle w:val="BodyText"/>
        <w:rPr>
          <w:b w:val="false"/>
          <w:bCs w:val="false"/>
        </w:rPr>
      </w:pPr>
      <w:r>
        <w:rPr>
          <w:b w:val="false"/>
          <w:bCs w:val="false"/>
        </w:rPr>
        <w:t>Другие DSP-методы: Например, усреднение циклов (cycle averaging) для повторяющихся импульсов: сигнал синхронизируют с сигналом и усредняют (накапливают выборки по фазе). Поглощает шум как 1/√M. Аналогично реализуются фазовые измерители.</w:t>
      </w:r>
    </w:p>
    <w:p>
      <w:pPr>
        <w:pStyle w:val="BodyText"/>
        <w:rPr>
          <w:b w:val="false"/>
          <w:bCs w:val="false"/>
        </w:rPr>
      </w:pPr>
      <w:r>
        <w:rPr>
          <w:b w:val="false"/>
          <w:bCs w:val="false"/>
        </w:rPr>
        <w:t xml:space="preserve">FPGA/DSP-системы: Если нужны крайне высокие скорости и малые задержки, применяют FPGA-реализации или мощные DSP-чипы (микросхемы с SIMD-конвейерами). Они обрабатывают сигналы в реальном времени вплоть до нескольких ГГц. </w:t>
      </w:r>
      <w:r>
        <w:rPr>
          <w:b w:val="false"/>
          <w:bCs w:val="false"/>
          <w:i/>
          <w:iCs/>
        </w:rPr>
        <w:t>Плюс:</w:t>
      </w:r>
      <w:r>
        <w:rPr>
          <w:b w:val="false"/>
          <w:bCs w:val="false"/>
        </w:rPr>
        <w:t xml:space="preserve"> высочайшая производительность (параллельная обработка), можно гибко реализовать фильтры, корреляцию, БПФ аппаратно. </w:t>
      </w:r>
      <w:r>
        <w:rPr>
          <w:b w:val="false"/>
          <w:bCs w:val="false"/>
          <w:i/>
          <w:iCs/>
        </w:rPr>
        <w:t>Минус:</w:t>
      </w:r>
      <w:r>
        <w:rPr>
          <w:b w:val="false"/>
          <w:bCs w:val="false"/>
        </w:rPr>
        <w:t xml:space="preserve"> очень высокая сложность и цена разработки, дорогие компоненты. Ориентировано на лабораторные или промышленно-критические системы (радиолокация, телекоммуникации).</w:t>
      </w:r>
    </w:p>
    <w:p>
      <w:pPr>
        <w:pStyle w:val="BodyText"/>
        <w:rPr/>
      </w:pPr>
      <w:r>
        <w:rPr>
          <w:b w:val="false"/>
          <w:bCs w:val="false"/>
        </w:rPr>
        <w:t>Коммерческие осциллографы/анализаторы: Фактически это все в одном: высокоскоростные АЦП + FPGA/CPU + графический интерфейс. Например, цифровой осциллограф Tektronix TDS7404B с полосу 4 ГГц и 20 ГС/с</w:t>
      </w:r>
      <w:r>
        <w:fldChar w:fldCharType="begin"/>
      </w:r>
      <w:r>
        <w:rPr>
          <w:rStyle w:val="Hyperlink"/>
          <w:b w:val="false"/>
          <w:bCs w:val="false"/>
        </w:rPr>
        <w:instrText xml:space="preserve"> HYPERLINK "https://uwbs.ru/development/example-measurements/" \l ":~:text=%D0%92%20%D0%BA%D0%B0%D1%87%D0%B5%D1%81%D1%82%D0%B2%D0%B5%20%D0%B8%D0%B7%D0%BC%D0%B5%D1%80%D0%B8%D1%82%D0%B5%D0%BB%D1%8F%20%D0%BF%D0%B0%D1%80%D0%B0%D0%BC%D0%B5%D1%82%D1%80%D0%BE%D0%B2%20%D1%81%D0%B8%D0%B3%D0%BD%D0%B0%D0%BB%D0%BE%D0%B2,%D0%A2%D0%B0%D0%BA%D0%B6%D0%B5%20%D0%B8%D1%81%D0%BF%D0%BE%D0%BB%D1%8C%D0%B7%D0%BE%D0%B2%D0%B0%D0%BD%D0%B8%D0%B5%20%D1%82%D0%B5%D1%85%D0%BD%D0%BE%D0%BB%D0%BE%D0%B3%D0%B8%D0%B8%20%D1%86%D0%B8%D1%84%D1%80%D0%BE%D0%B2%D0%BE%D0%B3%D0%BE%20%D1%84%D0%BE%D1%81%D1%84%D0%BE%D1%80%D0%B0"</w:instrText>
      </w:r>
      <w:r>
        <w:rPr>
          <w:rStyle w:val="Hyperlink"/>
          <w:b w:val="false"/>
          <w:bCs w:val="false"/>
        </w:rPr>
        <w:fldChar w:fldCharType="separate"/>
      </w:r>
      <w:r>
        <w:rPr>
          <w:rStyle w:val="Hyperlink"/>
          <w:b w:val="false"/>
          <w:bCs w:val="false"/>
        </w:rPr>
        <w:t>[6]</w:t>
      </w:r>
      <w:r>
        <w:rPr>
          <w:rStyle w:val="Hyperlink"/>
          <w:b w:val="false"/>
          <w:bCs w:val="false"/>
        </w:rPr>
        <w:fldChar w:fldCharType="end"/>
      </w:r>
      <w:r>
        <w:rPr>
          <w:b w:val="false"/>
          <w:bCs w:val="false"/>
        </w:rPr>
        <w:t xml:space="preserve">. Он сразу строит гистограммы и спектры встроенными средствами. </w:t>
      </w:r>
      <w:r>
        <w:rPr>
          <w:b w:val="false"/>
          <w:bCs w:val="false"/>
          <w:i/>
          <w:iCs/>
        </w:rPr>
        <w:t>Плюс:</w:t>
      </w:r>
      <w:r>
        <w:rPr>
          <w:b w:val="false"/>
          <w:bCs w:val="false"/>
        </w:rPr>
        <w:t xml:space="preserve"> готовый функционал, высокая точность, поддержка работы с помехами (DPO, выборочное хранение). </w:t>
      </w:r>
      <w:r>
        <w:rPr>
          <w:b w:val="false"/>
          <w:bCs w:val="false"/>
          <w:i/>
          <w:iCs/>
        </w:rPr>
        <w:t>Минус:</w:t>
      </w:r>
      <w:r>
        <w:rPr>
          <w:b w:val="false"/>
          <w:bCs w:val="false"/>
        </w:rPr>
        <w:t xml:space="preserve"> огромная стоимость и габариты, не подходит для встраивания. Аналогичные функции выполняет спектроанализатор и ВЧ-счетчики.</w:t>
      </w:r>
    </w:p>
    <w:p>
      <w:pPr>
        <w:pStyle w:val="BodyText"/>
        <w:rPr/>
      </w:pPr>
      <w:r>
        <w:rPr/>
      </w:r>
    </w:p>
    <w:p>
      <w:pPr>
        <w:pStyle w:val="Heading2"/>
        <w:rPr/>
      </w:pPr>
      <w:bookmarkStart w:id="15" w:name="__RefHeading___Toc2173_1929968905"/>
      <w:bookmarkStart w:id="16" w:name="сравнительный-анализ-и-патентный-поиск"/>
      <w:bookmarkEnd w:id="15"/>
      <w:r>
        <w:rPr/>
        <w:t>2.3 Сравнительный анализ и патентный поиск</w:t>
      </w:r>
    </w:p>
    <w:p>
      <w:pPr>
        <w:pStyle w:val="FirstParagraph"/>
        <w:rPr/>
      </w:pPr>
      <w:r>
        <w:rPr/>
        <w:t>Проведен обзор патентов и разработок на тему измерения параметров периодических сигналов. Ниже – краткая таблица примеров (патент, описание, особенности):</w:t>
      </w:r>
    </w:p>
    <w:tbl>
      <w:tblPr>
        <w:tblStyle w:val="Table"/>
        <w:tblW w:w="7920" w:type="dxa"/>
        <w:jc w:val="start"/>
        <w:tblInd w:w="108" w:type="dxa"/>
        <w:tblLayout w:type="fixed"/>
        <w:tblCellMar>
          <w:top w:w="0" w:type="dxa"/>
          <w:start w:w="108" w:type="dxa"/>
          <w:bottom w:w="0" w:type="dxa"/>
          <w:end w:w="108" w:type="dxa"/>
        </w:tblCellMar>
        <w:tblLook w:val="0020" w:noHBand="0" w:noVBand="0" w:firstColumn="0" w:lastRow="0" w:lastColumn="0" w:firstRow="1"/>
      </w:tblPr>
      <w:tblGrid>
        <w:gridCol w:w="1980"/>
        <w:gridCol w:w="1980"/>
        <w:gridCol w:w="1980"/>
        <w:gridCol w:w="1979"/>
      </w:tblGrid>
      <w:tr>
        <w:trPr>
          <w:tblHeader w:val="true"/>
        </w:trPr>
        <w:tc>
          <w:tcPr>
            <w:tcW w:w="1980"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Патент</w:t>
            </w:r>
          </w:p>
        </w:tc>
        <w:tc>
          <w:tcPr>
            <w:tcW w:w="1980"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Краткое содержание</w:t>
            </w:r>
          </w:p>
        </w:tc>
        <w:tc>
          <w:tcPr>
            <w:tcW w:w="1980"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Новизна/Применение</w:t>
            </w:r>
          </w:p>
        </w:tc>
        <w:tc>
          <w:tcPr>
            <w:tcW w:w="1979"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Ограничения</w:t>
            </w:r>
          </w:p>
        </w:tc>
      </w:tr>
      <w:tr>
        <w:trPr/>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RU2183839C1</w:t>
            </w:r>
            <w:r>
              <w:fldChar w:fldCharType="begin"/>
            </w:r>
            <w:r>
              <w:rPr>
                <w:rStyle w:val="Hyperlink"/>
                <w:sz w:val="20"/>
                <w:kern w:val="0"/>
                <w:szCs w:val="20"/>
                <w:rFonts w:eastAsia="Aptos"/>
                <w:lang w:val="ru-RU" w:eastAsia="en-US" w:bidi="ar-SA"/>
              </w:rPr>
              <w:instrText xml:space="preserve"> HYPERLINK "https://patents.google.com/patent/RU2183839C1/ru" \l ":~:text=%D0%97%D0%B0%D0%B4%D0%B0%D1%87%D0%B0%20%D0%B8%D0%B7%D0%BC%D0%B5%D1%80%D0%B5%D0%BD%D0%B8%D1%8F%20%D1%87%D0%B0%D1%81%D1%82%D0%BE%D1%82%D1%8B%20%D1%81%D0%B8%D0%BD%D1%83%D1%81%D0%BE%D0%B8%D0%B4%D0%B0%D0%BB%D1%8C%D0%BD%D1%8B%D1%85%20%D1%81%D0%B8%D0%B3%D0%BD%D0%B0%D0%BB%D0%BE%D0%B2,3"</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[9]</w:t>
            </w:r>
            <w:r>
              <w:rPr>
                <w:rStyle w:val="Hyperlink"/>
                <w:sz w:val="20"/>
                <w:kern w:val="0"/>
                <w:szCs w:val="20"/>
                <w:rFonts w:eastAsia="Aptos"/>
                <w:lang w:val="ru-RU" w:eastAsia="en-US" w:bidi="ar-SA"/>
              </w:rPr>
              <w:fldChar w:fldCharType="end"/>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Метод оценки частоты через рекуррентные формулы фаз. Изобретение предлагает вычислять приращения фазы и на их основе определять $f$</w:t>
            </w:r>
            <w:r>
              <w:fldChar w:fldCharType="begin"/>
            </w:r>
            <w:r>
              <w:rPr>
                <w:rStyle w:val="Hyperlink"/>
                <w:sz w:val="20"/>
                <w:kern w:val="0"/>
                <w:szCs w:val="20"/>
                <w:rFonts w:eastAsia="Aptos"/>
                <w:lang w:val="ru-RU" w:eastAsia="en-US" w:bidi="ar-SA"/>
              </w:rPr>
              <w:instrText xml:space="preserve"> HYPERLINK "https://patents.google.com/patent/RU2183839C1/ru" \l ":~:text=%D0%97%D0%B0%D0%B4%D0%B0%D1%87%D0%B0%20%D0%B8%D0%B7%D0%BC%D0%B5%D1%80%D0%B5%D0%BD%D0%B8%D1%8F%20%D1%87%D0%B0%D1%81%D1%82%D0%BE%D1%82%D1%8B%20%D1%81%D0%B8%D0%BD%D1%83%D1%81%D0%BE%D0%B8%D0%B4%D0%B0%D0%BB%D1%8C%D0%BD%D1%8B%D1%85%20%D1%81%D0%B8%D0%B3%D0%BD%D0%B0%D0%BB%D0%BE%D0%B2,3"</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[9]</w:t>
            </w:r>
            <w:r>
              <w:rPr>
                <w:rStyle w:val="Hyperlink"/>
                <w:sz w:val="20"/>
                <w:kern w:val="0"/>
                <w:szCs w:val="20"/>
                <w:rFonts w:eastAsia="Aptos"/>
                <w:lang w:val="ru-RU" w:eastAsia="en-US" w:bidi="ar-SA"/>
              </w:rPr>
              <w:fldChar w:fldCharType="end"/>
            </w:r>
            <w:r>
              <w:rPr>
                <w:rFonts w:eastAsia="Aptos" w:cs=""/>
                <w:kern w:val="0"/>
                <w:sz w:val="20"/>
                <w:szCs w:val="20"/>
                <w:lang w:val="ru-RU" w:eastAsia="en-US" w:bidi="ar-SA"/>
              </w:rPr>
              <w:t>.</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Высокая скорость оценки частоты, полезен для телеком/радиолокации.</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Сложная реализация ФАПЧ; фокус только на фазе/частоте, не на амплитуде.</w:t>
            </w:r>
          </w:p>
        </w:tc>
      </w:tr>
      <w:tr>
        <w:trPr/>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RU2229139C1</w:t>
            </w:r>
            <w:r>
              <w:fldChar w:fldCharType="begin"/>
            </w:r>
            <w:r>
              <w:rPr>
                <w:rStyle w:val="Hyperlink"/>
                <w:sz w:val="20"/>
                <w:kern w:val="0"/>
                <w:szCs w:val="20"/>
                <w:rFonts w:eastAsia="Aptos"/>
                <w:lang w:val="ru-RU" w:eastAsia="en-US" w:bidi="ar-SA"/>
              </w:rPr>
              <w:instrText xml:space="preserve"> HYPERLINK "https://patents.google.com/patent/RU2229139C1/ru" \l ":~:text=%D1%80%D0%B0%D0%B1%D0%BE%D1%82%D0%BE%D1%81%D0%BF%D0%BE%D1%81%D0%BE%D0%B1%D0%BD%D0%BE%D1%81%D1%82%D0%B8%20%D1%8D%D0%BB%D0%B5%D0%BA%D1%82%D1%80%D0%BE%D1%82%D0%B5%D1%85%D0%BD%D0%B8%D1%87%D0%B5%D1%81%D0%BA%D0%B8%D1%85%20%D0%B8%20%D1%8D%D0%BB%D0%B5%D0%BA%D1%82%D1%80%D0%BE%D0%BC%D0%B5%D1%85%D0%B0%D0%BD%D0%B8%D1%87%D0%B5%D1%81%D0%BA%D0%B8%D1%85%20%D1%83%D1%81%D1%82%D1%80%D0%BE%D0%B9%D1%81%D1%82%D0%B2,%D1%81%D0%B8%D0%B3%D0%BD%D0%B0%D0%BB%20%D0%BF%D1%80%D0%B5%D0%B4%D1%81%D1%82%D0%B0%D0%B2%D0%BB%D0%B5%D0%BD%20%D0%B1%D0%B8%D0%BD%D0%B0%D1%80%D0%BD%D0%BE%D0%B9%20%D0%B7%D0%BE%D0%BD%D0%B4%D0%B8%D1%80%D1%83%D1%8E%D1%89%D0%B5%D0%B9%20%D1%84%D1%83%D0%BD%D0%BA%D1%86%D0%B8%D0%B5%D0%B9"</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[10]</w:t>
            </w:r>
            <w:r>
              <w:rPr>
                <w:rStyle w:val="Hyperlink"/>
                <w:sz w:val="20"/>
                <w:kern w:val="0"/>
                <w:szCs w:val="20"/>
                <w:rFonts w:eastAsia="Aptos"/>
                <w:lang w:val="ru-RU" w:eastAsia="en-US" w:bidi="ar-SA"/>
              </w:rPr>
              <w:fldChar w:fldCharType="end"/>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Спектральный анализ сложного сигнала: перемножение входа с бинарной опорой, усреднение по периоду и поиск максимума постоянной составляющей</w:t>
            </w:r>
            <w:r>
              <w:fldChar w:fldCharType="begin"/>
            </w:r>
            <w:r>
              <w:rPr>
                <w:rStyle w:val="Hyperlink"/>
                <w:sz w:val="20"/>
                <w:kern w:val="0"/>
                <w:szCs w:val="20"/>
                <w:rFonts w:eastAsia="Aptos"/>
                <w:lang w:val="ru-RU" w:eastAsia="en-US" w:bidi="ar-SA"/>
              </w:rPr>
              <w:instrText xml:space="preserve"> HYPERLINK "https://patents.google.com/patent/RU2229139C1/ru" \l ":~:text=%D1%80%D0%B0%D0%B1%D0%BE%D1%82%D0%BE%D1%81%D0%BF%D0%BE%D1%81%D0%BE%D0%B1%D0%BD%D0%BE%D1%81%D1%82%D0%B8%20%D1%8D%D0%BB%D0%B5%D0%BA%D1%82%D1%80%D0%BE%D1%82%D0%B5%D1%85%D0%BD%D0%B8%D1%87%D0%B5%D1%81%D0%BA%D0%B8%D1%85%20%D0%B8%20%D1%8D%D0%BB%D0%B5%D0%BA%D1%82%D1%80%D0%BE%D0%BC%D0%B5%D1%85%D0%B0%D0%BD%D0%B8%D1%87%D0%B5%D1%81%D0%BA%D0%B8%D1%85%20%D1%83%D1%81%D1%82%D1%80%D0%BE%D0%B9%D1%81%D1%82%D0%B2,%D1%81%D0%B8%D0%B3%D0%BD%D0%B0%D0%BB%20%D0%BF%D1%80%D0%B5%D0%B4%D1%81%D1%82%D0%B0%D0%B2%D0%BB%D0%B5%D0%BD%20%D0%B1%D0%B8%D0%BD%D0%B0%D1%80%D0%BD%D0%BE%D0%B9%20%D0%B7%D0%BE%D0%BD%D0%B4%D0%B8%D1%80%D1%83%D1%8E%D1%89%D0%B5%D0%B9%20%D1%84%D1%83%D0%BD%D0%BA%D1%86%D0%B8%D0%B5%D0%B9"</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[10]</w:t>
            </w:r>
            <w:r>
              <w:rPr>
                <w:rStyle w:val="Hyperlink"/>
                <w:sz w:val="20"/>
                <w:kern w:val="0"/>
                <w:szCs w:val="20"/>
                <w:rFonts w:eastAsia="Aptos"/>
                <w:lang w:val="ru-RU" w:eastAsia="en-US" w:bidi="ar-SA"/>
              </w:rPr>
              <w:fldChar w:fldCharType="end"/>
            </w:r>
            <w:r>
              <w:rPr>
                <w:rFonts w:eastAsia="Aptos" w:cs=""/>
                <w:kern w:val="0"/>
                <w:sz w:val="20"/>
                <w:szCs w:val="20"/>
                <w:lang w:val="ru-RU" w:eastAsia="en-US" w:bidi="ar-SA"/>
              </w:rPr>
              <w:t>.</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Ускоряет расчет спектра за счет бинарных зондирующих функций; позволяет вычислять частоту, фазу и амплитуду гармоник.</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Требуется множество фазовых сдвигов опорного сигнала; сложность вычислений.</w:t>
            </w:r>
          </w:p>
        </w:tc>
      </w:tr>
      <w:tr>
        <w:trPr/>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RU2229140C1</w:t>
            </w:r>
            <w:r>
              <w:fldChar w:fldCharType="begin"/>
            </w:r>
            <w:r>
              <w:rPr>
                <w:rStyle w:val="Hyperlink"/>
                <w:sz w:val="20"/>
                <w:kern w:val="0"/>
                <w:szCs w:val="20"/>
                <w:rFonts w:eastAsia="Aptos"/>
                <w:lang w:val="ru-RU" w:eastAsia="en-US" w:bidi="ar-SA"/>
              </w:rPr>
              <w:instrText xml:space="preserve"> HYPERLINK "https://patents.google.com/patent/RU2229140C1/ru" \l ":~:text=%D0%98%D0%B7%D0%BE%D0%B1%D1%80%D0%B5%D1%82%D0%B5%D0%BD%D0%B8%D0%B5%20%D0%BE%D1%82%D0%BD%D0%BE%D1%81%D0%B8%D1%82%D1%81%D1%8F%20%D0%BA%20%D0%BE%D0%B1%D0%BB%D0%B0%D1%81%D1%82%D0%B8%20%D1%86%D0%B8%D1%84%D1%80%D0%BE%D0%B2%D0%BE%D0%B9,k%7D%29%20%D0%BF%D1%80%D0%B8%20%D1%80%D0%B0%D0%B7%D0%BB%D0%B8%D1%87%D0%BD%D1%8B%D1%85%20%D1%87%D0%B0%D1%81%D1%82%D0%BE%D1%82%D0%B0%D1%85%20%D0%BE%D0%BF%D0%BE%D1%80%D0%BD%D0%BE%D0%B3%D0%BE"</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[11]</w:t>
            </w:r>
            <w:r>
              <w:rPr>
                <w:rStyle w:val="Hyperlink"/>
                <w:sz w:val="20"/>
                <w:kern w:val="0"/>
                <w:szCs w:val="20"/>
                <w:rFonts w:eastAsia="Aptos"/>
                <w:lang w:val="ru-RU" w:eastAsia="en-US" w:bidi="ar-SA"/>
              </w:rPr>
              <w:fldChar w:fldCharType="end"/>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Способ мгновенного спектрального анализа: выборка точек анализа только в определенные моменты (решетчатые функции) и суммирование</w:t>
            </w:r>
            <w:r>
              <w:fldChar w:fldCharType="begin"/>
            </w:r>
            <w:r>
              <w:rPr>
                <w:rStyle w:val="Hyperlink"/>
                <w:sz w:val="20"/>
                <w:kern w:val="0"/>
                <w:szCs w:val="20"/>
                <w:rFonts w:eastAsia="Aptos"/>
                <w:lang w:val="ru-RU" w:eastAsia="en-US" w:bidi="ar-SA"/>
              </w:rPr>
              <w:instrText xml:space="preserve"> HYPERLINK "https://patents.google.com/patent/RU2229140C1/ru" \l ":~:text=%D0%98%D0%B7%D0%BE%D0%B1%D1%80%D0%B5%D1%82%D0%B5%D0%BD%D0%B8%D0%B5%20%D0%BE%D1%82%D0%BD%D0%BE%D1%81%D0%B8%D1%82%D1%81%D1%8F%20%D0%BA%20%D0%BE%D0%B1%D0%BB%D0%B0%D1%81%D1%82%D0%B8%20%D1%86%D0%B8%D1%84%D1%80%D0%BE%D0%B2%D0%BE%D0%B9,k%7D%29%20%D0%BF%D1%80%D0%B8%20%D1%80%D0%B0%D0%B7%D0%BB%D0%B8%D1%87%D0%BD%D1%8B%D1%85%20%D1%87%D0%B0%D1%81%D1%82%D0%BE%D1%82%D0%B0%D1%85%20%D0%BE%D0%BF%D0%BE%D1%80%D0%BD%D0%BE%D0%B3%D0%BE"</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[11]</w:t>
            </w:r>
            <w:r>
              <w:rPr>
                <w:rStyle w:val="Hyperlink"/>
                <w:sz w:val="20"/>
                <w:kern w:val="0"/>
                <w:szCs w:val="20"/>
                <w:rFonts w:eastAsia="Aptos"/>
                <w:lang w:val="ru-RU" w:eastAsia="en-US" w:bidi="ar-SA"/>
              </w:rPr>
              <w:fldChar w:fldCharType="end"/>
            </w:r>
            <w:r>
              <w:rPr>
                <w:rFonts w:eastAsia="Aptos" w:cs=""/>
                <w:kern w:val="0"/>
                <w:sz w:val="20"/>
                <w:szCs w:val="20"/>
                <w:lang w:val="ru-RU" w:eastAsia="en-US" w:bidi="ar-SA"/>
              </w:rPr>
              <w:t>.</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Уменьшает объем вычислений за счет выборки лишь некоторых отсчетов (поддержан Томским политехом).</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Сложность алгоритма; применим для стационарных периодических сигналов.</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SU1709262 (СССР, 1992)</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Калибратор периодических сигналов</w:t>
            </w:r>
            <w:r>
              <w:rPr>
                <w:rFonts w:eastAsia="Aptos" w:cs=""/>
                <w:kern w:val="0"/>
                <w:sz w:val="20"/>
                <w:szCs w:val="20"/>
                <w:lang w:val="ru-RU" w:eastAsia="en-US" w:bidi="ar-SA"/>
              </w:rPr>
              <w:t xml:space="preserve"> (генератор синусоид и шумов).</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Генерация опорных сигналов; не измеритель.</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Старое устройство (генерация, а не измерение).</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RU2365924 (2009)</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Способ измерения средней частоты периодических сигналов (описание недоступно в открытом доступе).</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ЦИ-техника, средняя частота.</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Подробности неизвестны.</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SU1160432A1 (2005)</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Метод измерения частоты по адаптивному фильтру: квантование и адаптивная обработка.</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Использует цифровую аппроксимацию сигнала.</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Нестандартизированные алгоритмы, не широко применен.</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Аналоговые приборы</w:t>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Осциллографы, анализаторы спектра (например, Tektronix TDS7404B</w:t>
            </w:r>
            <w:r>
              <w:fldChar w:fldCharType="begin"/>
            </w:r>
            <w:r>
              <w:rPr>
                <w:rStyle w:val="Hyperlink"/>
                <w:sz w:val="20"/>
                <w:kern w:val="0"/>
                <w:szCs w:val="20"/>
                <w:rFonts w:eastAsia="Aptos"/>
                <w:lang w:val="ru-RU" w:eastAsia="en-US" w:bidi="ar-SA"/>
              </w:rPr>
              <w:instrText xml:space="preserve"> HYPERLINK "https://uwbs.ru/development/example-measurements/" \l ":~:text=%D0%92%20%D0%BA%D0%B0%D1%87%D0%B5%D1%81%D1%82%D0%B2%D0%B5%20%D0%B8%D0%B7%D0%BC%D0%B5%D1%80%D0%B8%D1%82%D0%B5%D0%BB%D1%8F%20%D0%BF%D0%B0%D1%80%D0%B0%D0%BC%D0%B5%D1%82%D1%80%D0%BE%D0%B2%20%D1%81%D0%B8%D0%B3%D0%BD%D0%B0%D0%BB%D0%BE%D0%B2,%D0%A2%D0%B0%D0%BA%D0%B6%D0%B5%20%D0%B8%D1%81%D0%BF%D0%BE%D0%BB%D1%8C%D0%B7%D0%BE%D0%B2%D0%B0%D0%BD%D0%B8%D0%B5%20%D1%82%D0%B5%D1%85%D0%BD%D0%BE%D0%BB%D0%BE%D0%B3%D0%B8%D0%B8%20%D1%86%D0%B8%D1%84%D1%80%D0%BE%D0%B2%D0%BE%D0%B3%D0%BE%20%D1%84%D0%BE%D1%81%D1%84%D0%BE%D1%80%D0%B0"</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[6]</w:t>
            </w:r>
            <w:r>
              <w:rPr>
                <w:rStyle w:val="Hyperlink"/>
                <w:sz w:val="20"/>
                <w:kern w:val="0"/>
                <w:szCs w:val="20"/>
                <w:rFonts w:eastAsia="Aptos"/>
                <w:lang w:val="ru-RU" w:eastAsia="en-US" w:bidi="ar-SA"/>
              </w:rPr>
              <w:fldChar w:fldCharType="end"/>
            </w:r>
            <w:r>
              <w:rPr>
                <w:rFonts w:eastAsia="Aptos" w:cs=""/>
                <w:kern w:val="0"/>
                <w:sz w:val="20"/>
                <w:szCs w:val="20"/>
                <w:lang w:val="ru-RU" w:eastAsia="en-US" w:bidi="ar-SA"/>
              </w:rPr>
              <w:t>).</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Полный комплект измерений «из коробки».</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Очень дорогие, для лаборатории.</w:t>
            </w:r>
          </w:p>
        </w:tc>
      </w:tr>
    </w:tbl>
    <w:p>
      <w:pPr>
        <w:pStyle w:val="BodyText"/>
        <w:rPr/>
      </w:pPr>
      <w:r>
        <w:rPr>
          <w:i/>
          <w:iCs/>
        </w:rPr>
        <w:t>Вывод:</w:t>
      </w:r>
      <w:r>
        <w:rPr/>
        <w:t xml:space="preserve"> Наряду с классическими алгоритмами (RU2183839C1, RU2229139C1 и др.) специализированных приборов с точно такой функцией нет – обычно используют либо универсальные ОСЦ/анализаторы (см. Tektronix выше), либо разрабатывают цифровые схемы под конкретные задачи. Наш макет сочетает дешевый MCU и быстрый АЦП, что выходит за рамки описанных патентных решений и обеспечивает большую гибкость (медленная часть анализа выполняется на ПК).</w:t>
      </w:r>
      <w:bookmarkEnd w:id="16"/>
    </w:p>
    <w:p>
      <w:pPr>
        <w:pStyle w:val="BodyText"/>
        <w:rPr/>
      </w:pPr>
      <w:r>
        <w:rPr/>
      </w:r>
    </w:p>
    <w:p>
      <w:pPr>
        <w:pStyle w:val="Heading2"/>
        <w:rPr/>
      </w:pPr>
      <w:bookmarkStart w:id="17" w:name="__RefHeading___Toc2175_1929968905"/>
      <w:bookmarkStart w:id="18" w:name="варианты-реализации-и-сравнение"/>
      <w:bookmarkEnd w:id="17"/>
      <w:r>
        <w:rPr/>
        <w:t>2.4 Варианты реализации и сравнение</w:t>
      </w:r>
    </w:p>
    <w:p>
      <w:pPr>
        <w:pStyle w:val="BodyText"/>
        <w:rPr>
          <w:b w:val="false"/>
          <w:bCs w:val="false"/>
        </w:rPr>
      </w:pPr>
      <w:r>
        <w:rPr>
          <w:b w:val="false"/>
          <w:bCs w:val="false"/>
        </w:rPr>
        <w:t>Предложены три варианта реализации «минималистичного» измерителя:</w:t>
      </w:r>
    </w:p>
    <w:p>
      <w:pPr>
        <w:pStyle w:val="BodyText"/>
        <w:rPr>
          <w:b w:val="false"/>
          <w:bCs w:val="false"/>
        </w:rPr>
      </w:pPr>
      <w:r>
        <w:rPr>
          <w:b w:val="false"/>
          <w:bCs w:val="false"/>
        </w:rPr>
        <w:t xml:space="preserve">(A) Простой аналоговый/цифровой частотомер: Компаратор (±Шмитт) + счетчик. Схема: сигнал → компаратор → цифровой счетчик/таймер. Компоненты: компаратор (например, LM393), делители порогов, микросчетчик/таймер (можно в Arduino). </w:t>
      </w:r>
      <w:r>
        <w:rPr>
          <w:b w:val="false"/>
          <w:bCs w:val="false"/>
          <w:i/>
          <w:iCs/>
        </w:rPr>
        <w:t>Стоимость:</w:t>
      </w:r>
      <w:r>
        <w:rPr>
          <w:b w:val="false"/>
          <w:bCs w:val="false"/>
        </w:rPr>
        <w:t xml:space="preserve"> очень низкая (доллары). </w:t>
      </w:r>
      <w:r>
        <w:rPr>
          <w:b w:val="false"/>
          <w:bCs w:val="false"/>
          <w:i/>
          <w:iCs/>
        </w:rPr>
        <w:t>Возможности:</w:t>
      </w:r>
      <w:r>
        <w:rPr>
          <w:b w:val="false"/>
          <w:bCs w:val="false"/>
        </w:rPr>
        <w:t xml:space="preserve"> измерение частоты одной гармоники. Нельзя измерять амплитуду или анализировать шум. Компоненты: компаратор, резисторы, логическая подсистема/МК.</w:t>
      </w:r>
    </w:p>
    <w:p>
      <w:pPr>
        <w:pStyle w:val="BodyText"/>
        <w:rPr>
          <w:b w:val="false"/>
          <w:bCs w:val="false"/>
        </w:rPr>
      </w:pPr>
      <w:r>
        <w:rPr>
          <w:b w:val="false"/>
          <w:bCs w:val="false"/>
        </w:rPr>
        <w:t xml:space="preserve">(B) STM32F407 + внешний ADC (наш прототип): Компоненты: STM32F407VGT6, быстрый АЦП (Analog Devices, название “не указано”), тактовый генератор, сопряжение входа (УСИЛИТЕЛЬ, буфер), источник питания, ЦПЛ с интерфейсом (USB/Ethernet). </w:t>
      </w:r>
      <w:r>
        <w:rPr>
          <w:b w:val="false"/>
          <w:bCs w:val="false"/>
          <w:i/>
          <w:iCs/>
        </w:rPr>
        <w:t>Стоимость:</w:t>
      </w:r>
      <w:r>
        <w:rPr>
          <w:b w:val="false"/>
          <w:bCs w:val="false"/>
        </w:rPr>
        <w:t xml:space="preserve"> средняя (STM32 ~$10, ADC “не указано”, др. пассивные). </w:t>
      </w:r>
      <w:r>
        <w:rPr>
          <w:b w:val="false"/>
          <w:bCs w:val="false"/>
          <w:i/>
          <w:iCs/>
        </w:rPr>
        <w:t>Возможности:</w:t>
      </w:r>
      <w:r>
        <w:rPr>
          <w:b w:val="false"/>
          <w:bCs w:val="false"/>
        </w:rPr>
        <w:t xml:space="preserve"> полная цифровая обработка сигнала. Амплитуда определяется гистограммным анализом, частота – по среднему числу выборок на период. Все алгоритмы гибко настраиваются в ПО; часть (прямая выборка, DMA) – аппаратная. Примерные компоненты и стоимость (табл. ниже).</w:t>
      </w:r>
    </w:p>
    <w:p>
      <w:pPr>
        <w:pStyle w:val="BodyText"/>
        <w:rPr>
          <w:b w:val="false"/>
          <w:bCs w:val="false"/>
        </w:rPr>
      </w:pPr>
      <w:r>
        <w:rPr>
          <w:b w:val="false"/>
          <w:bCs w:val="false"/>
        </w:rPr>
        <w:t xml:space="preserve">(C) FPGA/DSP-анализатор: Компоненты: высокоскоростной ADC (~не указано, возможно &gt;100 МС/с), FPGA (Altera/Intel Cyclone, Xilinx Kintex и т.д.), память, конвертер интерфейса. </w:t>
      </w:r>
      <w:r>
        <w:rPr>
          <w:b w:val="false"/>
          <w:bCs w:val="false"/>
          <w:i/>
          <w:iCs/>
        </w:rPr>
        <w:t>Стоимость:</w:t>
      </w:r>
      <w:r>
        <w:rPr>
          <w:b w:val="false"/>
          <w:bCs w:val="false"/>
        </w:rPr>
        <w:t xml:space="preserve"> высокая (ADC – сотни $/штука, FPGA – сотни $; плата разработки &gt;$1000). </w:t>
      </w:r>
      <w:r>
        <w:rPr>
          <w:b w:val="false"/>
          <w:bCs w:val="false"/>
          <w:i/>
          <w:iCs/>
        </w:rPr>
        <w:t>Возможности:</w:t>
      </w:r>
      <w:r>
        <w:rPr>
          <w:b w:val="false"/>
          <w:bCs w:val="false"/>
        </w:rPr>
        <w:t xml:space="preserve"> реальное время при сотнях МГц, сложные алгоритмы (частотная фильтрация, FFT1000+, корреляция) на лету. Используется там, где требуется очень высокая точность и скорость. Примечание: наш вариант (B) – компромисс между (A) и (C).</w:t>
      </w:r>
    </w:p>
    <w:p>
      <w:pPr>
        <w:pStyle w:val="FirstParagraph"/>
        <w:rPr/>
      </w:pPr>
      <w:r>
        <w:rPr>
          <w:b/>
          <w:bCs/>
        </w:rPr>
        <w:t>Таблица 2.1. Компоненты и стоимость для трех вариантов</w:t>
      </w:r>
    </w:p>
    <w:tbl>
      <w:tblPr>
        <w:tblStyle w:val="Table"/>
        <w:tblW w:w="7920" w:type="dxa"/>
        <w:jc w:val="start"/>
        <w:tblInd w:w="108" w:type="dxa"/>
        <w:tblLayout w:type="fixed"/>
        <w:tblCellMar>
          <w:top w:w="0" w:type="dxa"/>
          <w:start w:w="108" w:type="dxa"/>
          <w:bottom w:w="0" w:type="dxa"/>
          <w:end w:w="108" w:type="dxa"/>
        </w:tblCellMar>
        <w:tblLook w:val="0020" w:noHBand="0" w:noVBand="0" w:firstColumn="0" w:lastRow="0" w:lastColumn="0" w:firstRow="1"/>
      </w:tblPr>
      <w:tblGrid>
        <w:gridCol w:w="1980"/>
        <w:gridCol w:w="1980"/>
        <w:gridCol w:w="1980"/>
        <w:gridCol w:w="1979"/>
      </w:tblGrid>
      <w:tr>
        <w:trPr>
          <w:tblHeader w:val="true"/>
        </w:trPr>
        <w:tc>
          <w:tcPr>
            <w:tcW w:w="1980"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Компонент</w:t>
            </w:r>
          </w:p>
        </w:tc>
        <w:tc>
          <w:tcPr>
            <w:tcW w:w="1980"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(A) Аналоговый частотомер</w:t>
            </w:r>
          </w:p>
        </w:tc>
        <w:tc>
          <w:tcPr>
            <w:tcW w:w="1980"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(B) STM32F407 + ADC</w:t>
            </w:r>
          </w:p>
        </w:tc>
        <w:tc>
          <w:tcPr>
            <w:tcW w:w="1979"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(C) FPGA/DSP-анализатор</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Микроконтроллер/ЦП</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не требуется (просто счетчик)</w:t>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 xml:space="preserve">STM32F407VGT6 (Cortex-M4, 168МГц) – </w:t>
            </w:r>
            <w:r>
              <w:rPr>
                <w:rFonts w:eastAsia="Aptos" w:cs=""/>
                <w:i/>
                <w:iCs/>
                <w:kern w:val="0"/>
                <w:sz w:val="20"/>
                <w:szCs w:val="20"/>
                <w:lang w:val="ru-RU" w:eastAsia="en-US" w:bidi="ar-SA"/>
              </w:rPr>
              <w:t>не указано</w:t>
            </w:r>
            <w:r>
              <w:fldChar w:fldCharType="begin"/>
            </w:r>
            <w:r>
              <w:rPr>
                <w:rStyle w:val="Hyperlink"/>
                <w:sz w:val="20"/>
                <w:kern w:val="0"/>
                <w:szCs w:val="20"/>
                <w:rFonts w:eastAsia="Aptos"/>
                <w:lang w:val="ru-RU" w:eastAsia="en-US" w:bidi="ar-SA"/>
              </w:rPr>
              <w:instrText xml:space="preserve"> HYPERLINK "https://www.st.com/resource/en/datasheet/dm00037051.pdf" \l ":~:text=%E2%80%A2%203%C3%9712,MSPS%20in%20triple%20interleaved%20mode"</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[3]</w:t>
            </w:r>
            <w:r>
              <w:rPr>
                <w:rStyle w:val="Hyperlink"/>
                <w:sz w:val="20"/>
                <w:kern w:val="0"/>
                <w:szCs w:val="20"/>
                <w:rFonts w:eastAsia="Aptos"/>
                <w:lang w:val="ru-RU" w:eastAsia="en-US" w:bidi="ar-SA"/>
              </w:rPr>
              <w:fldChar w:fldCharType="end"/>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 xml:space="preserve">специализированный DSP/FPGA – </w:t>
            </w:r>
            <w:r>
              <w:rPr>
                <w:rFonts w:eastAsia="Aptos" w:cs=""/>
                <w:i/>
                <w:iCs/>
                <w:kern w:val="0"/>
                <w:sz w:val="20"/>
                <w:szCs w:val="20"/>
                <w:lang w:val="ru-RU" w:eastAsia="en-US" w:bidi="ar-SA"/>
              </w:rPr>
              <w:t>не указано</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АЦП/формирователь сигнала</w:t>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компаратор/Шмитт-триггер (например, LM393, цена &lt;$1)</w:t>
            </w:r>
            <w:r>
              <w:fldChar w:fldCharType="begin"/>
            </w:r>
            <w:r>
              <w:rPr>
                <w:rStyle w:val="Hyperlink"/>
                <w:sz w:val="20"/>
                <w:kern w:val="0"/>
                <w:szCs w:val="20"/>
                <w:rFonts w:eastAsia="Aptos"/>
                <w:lang w:val="ru-RU" w:eastAsia="en-US" w:bidi="ar-SA"/>
              </w:rPr>
              <w:instrText xml:space="preserve"> HYPERLINK "https://en.wikipedia.org/wiki/Schmitt_trigger" \l ":~:text=ImageComparison%20of%20the%20action%20of,remove%20noise%20from%20the%20signal"</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[2]</w:t>
            </w:r>
            <w:r>
              <w:rPr>
                <w:rStyle w:val="Hyperlink"/>
                <w:sz w:val="20"/>
                <w:kern w:val="0"/>
                <w:szCs w:val="20"/>
                <w:rFonts w:eastAsia="Aptos"/>
                <w:lang w:val="ru-RU" w:eastAsia="en-US" w:bidi="ar-SA"/>
              </w:rPr>
              <w:fldChar w:fldCharType="end"/>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 xml:space="preserve">Внешний быстрый ADC (Analog Devices, </w:t>
            </w:r>
            <w:r>
              <w:rPr>
                <w:rFonts w:eastAsia="Aptos" w:cs=""/>
                <w:i/>
                <w:iCs/>
                <w:kern w:val="0"/>
                <w:sz w:val="20"/>
                <w:szCs w:val="20"/>
                <w:lang w:val="ru-RU" w:eastAsia="en-US" w:bidi="ar-SA"/>
              </w:rPr>
              <w:t>не указано</w:t>
            </w:r>
            <w:r>
              <w:rPr>
                <w:rFonts w:eastAsia="Aptos" w:cs=""/>
                <w:kern w:val="0"/>
                <w:sz w:val="20"/>
                <w:szCs w:val="20"/>
                <w:lang w:val="ru-RU" w:eastAsia="en-US" w:bidi="ar-SA"/>
              </w:rPr>
              <w:t>, ~18.6 MSPS)</w:t>
            </w:r>
            <w:r>
              <w:fldChar w:fldCharType="begin"/>
            </w:r>
            <w:r>
              <w:rPr>
                <w:rStyle w:val="Hyperlink"/>
                <w:sz w:val="20"/>
                <w:kern w:val="0"/>
                <w:szCs w:val="20"/>
                <w:rFonts w:eastAsia="Aptos"/>
                <w:lang w:val="ru-RU" w:eastAsia="en-US" w:bidi="ar-SA"/>
              </w:rPr>
              <w:instrText xml:space="preserve"> HYPERLINK "https://www.analog.com/en/product-category/high-speed-adcs.html" \l ":~:text=Analog%20Devices%E2%80%99%20high%20speed%20analog,10%20MSPS%20to%20125%20MSPS"</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[4]</w:t>
            </w:r>
            <w:r>
              <w:rPr>
                <w:rStyle w:val="Hyperlink"/>
                <w:sz w:val="20"/>
                <w:kern w:val="0"/>
                <w:szCs w:val="20"/>
                <w:rFonts w:eastAsia="Aptos"/>
                <w:lang w:val="ru-RU" w:eastAsia="en-US" w:bidi="ar-SA"/>
              </w:rPr>
              <w:fldChar w:fldCharType="end"/>
            </w:r>
            <w:r>
              <w:fldChar w:fldCharType="begin"/>
            </w:r>
            <w:r>
              <w:rPr>
                <w:rStyle w:val="Hyperlink"/>
                <w:sz w:val="20"/>
                <w:kern w:val="0"/>
                <w:szCs w:val="20"/>
                <w:rFonts w:eastAsia="Aptos"/>
                <w:lang w:val="ru-RU" w:eastAsia="en-US" w:bidi="ar-SA"/>
              </w:rPr>
              <w:instrText xml:space="preserve"> HYPERLINK "https://uwbs.ru/development/example-measurements/" \l ":~:text=%D0%92%20%D0%BA%D0%B0%D1%87%D0%B5%D1%81%D1%82%D0%B2%D0%B5%20%D0%B8%D0%B7%D0%BC%D0%B5%D1%80%D0%B8%D1%82%D0%B5%D0%BB%D1%8F%20%D0%BF%D0%B0%D1%80%D0%B0%D0%BC%D0%B5%D1%82%D1%80%D0%BE%D0%B2%20%D1%81%D0%B8%D0%B3%D0%BD%D0%B0%D0%BB%D0%BE%D0%B2,%D0%A2%D0%B0%D0%BA%D0%B6%D0%B5%20%D0%B8%D1%81%D0%BF%D0%BE%D0%BB%D1%8C%D0%B7%D0%BE%D0%B2%D0%B0%D0%BD%D0%B8%D0%B5%20%D1%82%D0%B5%D1%85%D0%BD%D0%BE%D0%BB%D0%BE%D0%B3%D0%B8%D0%B8%20%D1%86%D0%B8%D1%84%D1%80%D0%BE%D0%B2%D0%BE%D0%B3%D0%BE%20%D1%84%D0%BE%D1%81%D1%84%D0%BE%D1%80%D0%B0"</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[6]</w:t>
            </w:r>
            <w:r>
              <w:rPr>
                <w:rStyle w:val="Hyperlink"/>
                <w:sz w:val="20"/>
                <w:kern w:val="0"/>
                <w:szCs w:val="20"/>
                <w:rFonts w:eastAsia="Aptos"/>
                <w:lang w:val="ru-RU" w:eastAsia="en-US" w:bidi="ar-SA"/>
              </w:rPr>
              <w:fldChar w:fldCharType="end"/>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Мультиканальный ADC &gt;100 MSPS (не указано)</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Генератор тактов (кварц)</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1 МГц–100 МГц (для таймера, &lt;$1)</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 xml:space="preserve">25–50 МГц (для MCU/ADC, </w:t>
            </w:r>
            <w:r>
              <w:rPr>
                <w:rFonts w:eastAsia="Aptos" w:cs=""/>
                <w:i/>
                <w:iCs/>
                <w:kern w:val="0"/>
                <w:sz w:val="20"/>
                <w:szCs w:val="20"/>
                <w:lang w:val="ru-RU" w:eastAsia="en-US" w:bidi="ar-SA"/>
              </w:rPr>
              <w:t>не указано</w:t>
            </w:r>
            <w:r>
              <w:rPr>
                <w:rFonts w:eastAsia="Aptos" w:cs=""/>
                <w:kern w:val="0"/>
                <w:sz w:val="20"/>
                <w:szCs w:val="20"/>
                <w:lang w:val="ru-RU" w:eastAsia="en-US" w:bidi="ar-SA"/>
              </w:rPr>
              <w:t>)</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Внешний высокочастотный VCO (Gbit, &gt;$10)</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Аналоговый вход (усилитель)</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простейший фильтр/ограничитель (</w:t>
            </w:r>
            <w:r>
              <w:rPr>
                <w:rFonts w:eastAsia="Aptos" w:cs=""/>
                <w:i/>
                <w:iCs/>
                <w:kern w:val="0"/>
                <w:sz w:val="20"/>
                <w:szCs w:val="20"/>
                <w:lang w:val="ru-RU" w:eastAsia="en-US" w:bidi="ar-SA"/>
              </w:rPr>
              <w:t>не указано</w:t>
            </w:r>
            <w:r>
              <w:rPr>
                <w:rFonts w:eastAsia="Aptos" w:cs=""/>
                <w:kern w:val="0"/>
                <w:sz w:val="20"/>
                <w:szCs w:val="20"/>
                <w:lang w:val="ru-RU" w:eastAsia="en-US" w:bidi="ar-SA"/>
              </w:rPr>
              <w:t>)</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 xml:space="preserve">УСИЛИТЕЛЬ НЧ + буфер (прецизионный, </w:t>
            </w:r>
            <w:r>
              <w:rPr>
                <w:rFonts w:eastAsia="Aptos" w:cs=""/>
                <w:i/>
                <w:iCs/>
                <w:kern w:val="0"/>
                <w:sz w:val="20"/>
                <w:szCs w:val="20"/>
                <w:lang w:val="ru-RU" w:eastAsia="en-US" w:bidi="ar-SA"/>
              </w:rPr>
              <w:t>не указано</w:t>
            </w:r>
            <w:r>
              <w:rPr>
                <w:rFonts w:eastAsia="Aptos" w:cs=""/>
                <w:kern w:val="0"/>
                <w:sz w:val="20"/>
                <w:szCs w:val="20"/>
                <w:lang w:val="ru-RU" w:eastAsia="en-US" w:bidi="ar-SA"/>
              </w:rPr>
              <w:t>)</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Прецизионный фронт-энд (PLL, фильтры)</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Память и интерфейс</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не требуется</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Встроенная Flash+RAM, USB/DMA</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Внешняя DDR SDRAM, высокоскоростной интерфейс (PCIe/Gbit)</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Прочие (ПЗУ, защита, др.)</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минимальные (конденсаторы, стабилизаторы)</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Стандартные (регуляторы 3.3В, 5В)</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Сложная логика питания, чипы Gbit Ethernet и пр.</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Суммарная стоимость</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Очень низкая (&lt;1000 ₽)</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Средняя (~5–10 тыс ₽)</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Очень высокая (&gt;100 тыс ₽)</w:t>
            </w:r>
          </w:p>
        </w:tc>
      </w:tr>
    </w:tbl>
    <w:p>
      <w:pPr>
        <w:pStyle w:val="BodyText"/>
        <w:rPr/>
      </w:pPr>
      <w:r>
        <w:rPr>
          <w:i/>
          <w:iCs/>
        </w:rPr>
        <w:t xml:space="preserve">Цены взяты условно: STM32F407 – 500 рублей, быстродействующий ADC – 2000 рублей  </w:t>
      </w:r>
      <w:r>
        <w:fldChar w:fldCharType="begin"/>
      </w:r>
      <w:r>
        <w:rPr>
          <w:rStyle w:val="Hyperlink"/>
          <w:i/>
          <w:iCs/>
        </w:rPr>
        <w:instrText xml:space="preserve"> HYPERLINK "https://www.analog.com/en/product-category/high-speed-adcs.html" \l ":~:text=Analog%20Devices%E2%80%99%20high%20speed%20analog,10%20MSPS%20to%20125%20MSPS"</w:instrText>
      </w:r>
      <w:r>
        <w:rPr>
          <w:rStyle w:val="Hyperlink"/>
          <w:i/>
          <w:iCs/>
        </w:rPr>
        <w:fldChar w:fldCharType="separate"/>
      </w:r>
      <w:r>
        <w:rPr>
          <w:rStyle w:val="Hyperlink"/>
          <w:i/>
          <w:iCs/>
        </w:rPr>
        <w:t>[4]</w:t>
      </w:r>
      <w:r>
        <w:rPr>
          <w:rStyle w:val="Hyperlink"/>
          <w:i/>
          <w:iCs/>
        </w:rPr>
        <w:fldChar w:fldCharType="end"/>
      </w:r>
      <w:r>
        <w:rPr>
          <w:i/>
          <w:iCs/>
        </w:rPr>
        <w:t>. Указанная система Б (наша) оптимальна по соотношению цена/возможности.</w:t>
      </w:r>
      <w:bookmarkEnd w:id="18"/>
    </w:p>
    <w:p>
      <w:pPr>
        <w:pStyle w:val="BodyText"/>
        <w:rPr/>
      </w:pPr>
      <w:r>
        <w:rPr/>
      </w:r>
    </w:p>
    <w:p>
      <w:pPr>
        <w:pStyle w:val="Heading2"/>
        <w:rPr/>
      </w:pPr>
      <w:bookmarkStart w:id="19" w:name="__RefHeading___Toc2177_1929968905"/>
      <w:bookmarkEnd w:id="19"/>
      <w:r>
        <w:rPr/>
        <w:t>2.5 Реализация подхода на STM32F407</w:t>
      </w:r>
    </w:p>
    <w:p>
      <w:pPr>
        <w:pStyle w:val="BodyText"/>
        <w:rPr/>
      </w:pPr>
      <w:r>
        <w:rPr>
          <w:b/>
          <w:bCs/>
        </w:rPr>
        <w:t>Аппаратная часть:</w:t>
      </w:r>
      <w:r>
        <w:rPr/>
        <w:t xml:space="preserve"> В STM32F407 есть 3 АЦП по 12 бит до 2.4 MS/s</w:t>
      </w:r>
      <w:r>
        <w:fldChar w:fldCharType="begin"/>
      </w:r>
      <w:r>
        <w:rPr>
          <w:rStyle w:val="Hyperlink"/>
        </w:rPr>
        <w:instrText xml:space="preserve"> HYPERLINK "https://www.st.com/resource/en/datasheet/dm00037051.pdf" \l ":~:text=%E2%80%A2%203%C3%9712,MSPS%20in%20triple%20interleaved%20mode"</w:instrText>
      </w:r>
      <w:r>
        <w:rPr>
          <w:rStyle w:val="Hyperlink"/>
        </w:rPr>
        <w:fldChar w:fldCharType="separate"/>
      </w:r>
      <w:r>
        <w:rPr>
          <w:rStyle w:val="Hyperlink"/>
        </w:rPr>
        <w:t>[3]</w:t>
      </w:r>
      <w:r>
        <w:rPr>
          <w:rStyle w:val="Hyperlink"/>
        </w:rPr>
        <w:fldChar w:fldCharType="end"/>
      </w:r>
      <w:r>
        <w:rPr/>
        <w:t xml:space="preserve">. Для 18.6 MS/s используется внешний SAR-ADC (например, семейство AD1940 и др.; модель </w:t>
      </w:r>
      <w:r>
        <w:rPr>
          <w:b/>
          <w:bCs/>
        </w:rPr>
        <w:t>не указана</w:t>
      </w:r>
      <w:r>
        <w:rPr/>
        <w:t xml:space="preserve">). ADC может быть интерфейсован через SPI или параллельный интерфейс в DMA-режиме. Таймер STM32 запускает преобразования с нужной частотой. Интерфейс DMA заполняет буфер без нагружения CPU. Ожидаемая нагрузка: 18.6 млн отсчетов/с * 2 байта ≈ 37 МБ/с. STM32F4 поддерживает до 84 МГц ядра и кэш, </w:t>
      </w:r>
      <w:r>
        <w:rPr>
          <w:b/>
          <w:bCs/>
        </w:rPr>
        <w:t>DSP-инструкции и SIMD-мультипликаторы</w:t>
      </w:r>
      <w:r>
        <w:fldChar w:fldCharType="begin"/>
      </w:r>
      <w:r>
        <w:rPr>
          <w:rStyle w:val="Hyperlink"/>
        </w:rPr>
        <w:instrText xml:space="preserve"> HYPERLINK "https://www.st.com/resource/en/application_note/an4841-digital-signal-processing-for-stm32-microcontrollers-using-cmsis-stmicroelectronics.pdf" \l ":~:text=Both%20Cortex%C2%AE,based%20STM32F7%20Series%20provide"</w:instrText>
      </w:r>
      <w:r>
        <w:rPr>
          <w:rStyle w:val="Hyperlink"/>
        </w:rPr>
        <w:fldChar w:fldCharType="separate"/>
      </w:r>
      <w:r>
        <w:rPr>
          <w:rStyle w:val="Hyperlink"/>
        </w:rPr>
        <w:t>[5]</w:t>
      </w:r>
      <w:r>
        <w:rPr>
          <w:rStyle w:val="Hyperlink"/>
        </w:rPr>
        <w:fldChar w:fldCharType="end"/>
      </w:r>
      <w:r>
        <w:rPr/>
        <w:t>, что позволяет на MCU выполнять некритичные операции (например, фильтрацию, сверточные суммирования, простую БПФ) без полного перехода на ПК.</w:t>
      </w:r>
    </w:p>
    <w:p>
      <w:pPr>
        <w:pStyle w:val="BodyText"/>
        <w:rPr/>
      </w:pPr>
      <w:r>
        <w:rPr>
          <w:b/>
          <w:bCs/>
        </w:rPr>
        <w:t>Ограничения (реальные):</w:t>
      </w:r>
      <w:r>
        <w:rPr/>
        <w:t xml:space="preserve"> Максимальная входная частота измеряемого сигнала ограничена половиной скорости дискретизации (Найквист), т.е. ≈9.3 МГц. Для большинства задач мы считаем сигналы до сотен кГц. Высокочастотные составляющие фильтруются АЦП-аналоговым фронтом (фильтр антиалиасинга) – это отдельная часть схемы. Латентность системы: преимущественно обусловлена временем набора партий выборок и передачи их на ПК. При 18.6 МС/с одну секунду заполнения буфера в 18.6 млн отсчетов. На практике используются гораздо меньшие блоки (например, 10000 отсчетов) для реальной оценки параметров: это дает задержку ~0.54 мс на обработку интервала (10000/18.6e6).</w:t>
      </w:r>
    </w:p>
    <w:p>
      <w:pPr>
        <w:pStyle w:val="BodyText"/>
        <w:rPr/>
      </w:pPr>
      <w:r>
        <w:rPr>
          <w:b/>
          <w:bCs/>
        </w:rPr>
        <w:t>Алгоритмы:</w:t>
      </w:r>
      <w:r>
        <w:rPr/>
        <w:t xml:space="preserve"> В STM32 реализуются только самые тяжелые или временно-критичные фрагменты: сбор данных, гистограмма, поиск трех пиков в гистограмме, базовый подсчет периода (счет совпадений пиков или нулевых переходов). Аппаратно (DMA) обрабатываются ровно $O(1)$ операций на отсчет (сбор гистограммы). Оценка амплитуды: $A = peak_{\max} - peak_{\min}$, где $peak$ – индексы или значения пиков гистограммы (см. ниже). Определение периода: по среднему числу отсчетов между последовательными пересечениями порога или гистограммными пиками ($T=\overline{N}_{\text{отсч}}/F_s$).</w:t>
      </w:r>
    </w:p>
    <w:p>
      <w:pPr>
        <w:pStyle w:val="BodyText"/>
        <w:rPr/>
      </w:pPr>
      <w:bookmarkStart w:id="20" w:name="реализация-подхода-на-stm32f407"/>
      <w:r>
        <w:rPr/>
        <w:t>Остальное (подробная обработка сигналов, вывод результатов, сложные фильтры, многократная проверка стабильности) выполняется на ПК. Вычисления на ПК могут включать FFT (быстрая оценка спектра), корреляционные методы, продвинутую статистику (например, оценку джиттера), визуализацию и т.д. Таким образом мы разгружаем MCU, оставляя ему только сбор и подсчет статистики для каждого блока.</w:t>
      </w:r>
      <w:bookmarkEnd w:id="20"/>
    </w:p>
    <w:p>
      <w:pPr>
        <w:pStyle w:val="BodyText"/>
        <w:rPr/>
      </w:pPr>
      <w:r>
        <w:rPr/>
      </w:r>
    </w:p>
    <w:p>
      <w:pPr>
        <w:pStyle w:val="Heading2"/>
        <w:rPr/>
      </w:pPr>
      <w:bookmarkStart w:id="21" w:name="__RefHeading___Toc2179_1929968905"/>
      <w:bookmarkEnd w:id="21"/>
      <w:r>
        <w:rPr/>
        <w:t>2.6 Гистограммный метод: алгоритм и статистика</w:t>
      </w:r>
    </w:p>
    <w:p>
      <w:pPr>
        <w:pStyle w:val="BodyText"/>
        <w:rPr/>
      </w:pPr>
      <w:r>
        <w:rPr/>
        <w:t xml:space="preserve">В основу нашего метода положен </w:t>
      </w:r>
      <w:r>
        <w:rPr>
          <w:b/>
          <w:bCs/>
        </w:rPr>
        <w:t>гистограммный анализ</w:t>
      </w:r>
      <w:r>
        <w:rPr/>
        <w:t xml:space="preserve"> входных отсчетов</w:t>
      </w:r>
      <w:r>
        <w:fldChar w:fldCharType="begin"/>
      </w:r>
      <w:r>
        <w:rPr>
          <w:rStyle w:val="Hyperlink"/>
        </w:rPr>
        <w:instrText xml:space="preserve"> HYPERLINK "https://studfile.net/preview/10417297/page:8/" \l ":~:text=%D0%A4%D0%BE%D1%80%D0%BC%D0%B8%D1%80%D1%83%D1%8E%D1%89%D0%B5%D0%B5%20%D1%83%D1%81%D1%82%D1%80%D0%BE%D0%B9%D1%81%D1%82%D0%B2%D0%BE%20,%D1%82%D0%B5%D0%BC%20%D0%B6%D0%B5%20%D0%BF%D0%B5%D1%80%D0%B8%D0%BE%D0%B4%D0%BE%D0%BC%20%D1%81%D0%BB%D0%B5%D0%B4%D0%BE%D0%B2%D0%B0%D0%BD%D0%B8%D1%8F%20%D0%A2%D1%85"</w:instrText>
      </w:r>
      <w:r>
        <w:rPr>
          <w:rStyle w:val="Hyperlink"/>
        </w:rPr>
        <w:fldChar w:fldCharType="separate"/>
      </w:r>
      <w:r>
        <w:rPr>
          <w:rStyle w:val="Hyperlink"/>
        </w:rPr>
        <w:t>[12]</w:t>
      </w:r>
      <w:r>
        <w:rPr>
          <w:rStyle w:val="Hyperlink"/>
        </w:rPr>
        <w:fldChar w:fldCharType="end"/>
      </w:r>
      <w:r>
        <w:rPr/>
        <w:t>. Алгоритм работает в несколько этапов:</w:t>
      </w:r>
    </w:p>
    <w:p>
      <w:pPr>
        <w:pStyle w:val="SourceCode"/>
        <w:rPr/>
      </w:pPr>
      <w:r>
        <w:rPr/>
        <w:drawing>
          <wp:anchor behindDoc="0" distT="0" distB="0" distL="0" distR="0" simplePos="0" locked="0" layoutInCell="0" allowOverlap="1" relativeHeight="91">
            <wp:simplePos x="0" y="0"/>
            <wp:positionH relativeFrom="column">
              <wp:align>center</wp:align>
            </wp:positionH>
            <wp:positionV relativeFrom="paragraph">
              <wp:posOffset>635</wp:posOffset>
            </wp:positionV>
            <wp:extent cx="2093595" cy="4816475"/>
            <wp:effectExtent l="0" t="0" r="0" b="0"/>
            <wp:wrapTopAndBottom/>
            <wp:docPr id="3"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title=""/>
                    <pic:cNvPicPr>
                      <a:picLocks noChangeAspect="1" noChangeArrowheads="1"/>
                    </pic:cNvPicPr>
                  </pic:nvPicPr>
                  <pic:blipFill>
                    <a:blip r:embed="rId8"/>
                    <a:stretch>
                      <a:fillRect/>
                    </a:stretch>
                  </pic:blipFill>
                  <pic:spPr bwMode="auto">
                    <a:xfrm>
                      <a:off x="0" y="0"/>
                      <a:ext cx="2093595" cy="4816475"/>
                    </a:xfrm>
                    <a:prstGeom prst="rect">
                      <a:avLst/>
                    </a:prstGeom>
                  </pic:spPr>
                </pic:pic>
              </a:graphicData>
            </a:graphic>
          </wp:anchor>
        </w:drawing>
      </w:r>
    </w:p>
    <w:p>
      <w:pPr>
        <w:pStyle w:val="BodyTextFirstIndent"/>
        <w:rPr/>
      </w:pPr>
      <w:r>
        <w:rPr/>
        <w:t xml:space="preserve">Здесь </w:t>
      </w:r>
      <w:r>
        <w:rPr>
          <w:rStyle w:val="VerbatimChar"/>
        </w:rPr>
        <w:t>V(x)</w:t>
      </w:r>
      <w:r>
        <w:rPr/>
        <w:t xml:space="preserve"> – отношение к абсолютной шкале АЦП; </w:t>
      </w:r>
      <w:r>
        <w:rPr>
          <w:rStyle w:val="VerbatimChar"/>
        </w:rPr>
        <w:t>V_peak0</w:t>
      </w:r>
      <w:r>
        <w:rPr/>
        <w:t xml:space="preserve"> – средний уровень. Сложность алгоритма – O(M) по числу выборок (сбор гистограммы) плюс O(H) для поиска пиков (где H – число возможных уровней, обычно 2^n, константа). Это быстро для M~10⁴–10⁵ и H~256–65536.</w:t>
      </w:r>
    </w:p>
    <w:p>
      <w:pPr>
        <w:pStyle w:val="BodyText"/>
        <w:rPr/>
      </w:pPr>
      <w:r>
        <w:rPr>
          <w:b/>
          <w:bCs/>
        </w:rPr>
        <w:t>Статистические свойства:</w:t>
      </w:r>
      <w:r>
        <w:rPr/>
        <w:t xml:space="preserve"> При аддитивном белом гауссовом шуме пики гистограммы получаются размытыми – пики амплитуд расширяются примерно на </w:t>
      </w:r>
      <w:r>
        <w:rPr/>
      </w:r>
      <m:oMath xmlns:m="http://schemas.openxmlformats.org/officeDocument/2006/math">
        <m:r>
          <m:t xml:space="preserve">σ</m:t>
        </m:r>
      </m:oMath>
      <w:r>
        <w:rPr/>
        <w:t xml:space="preserve"> шума. Если сигнал имеет амплитуду A и шум с дисперсией </w:t>
      </w:r>
      <w:r>
        <w:rPr/>
      </w:r>
      <m:oMath xmlns:m="http://schemas.openxmlformats.org/officeDocument/2006/math">
        <m:sSup>
          <m:e>
            <m:r>
              <m:t xml:space="preserve">σ</m:t>
            </m:r>
          </m:e>
          <m:sup>
            <m:r>
              <m:t xml:space="preserve">2</m:t>
            </m:r>
          </m:sup>
        </m:sSup>
      </m:oMath>
      <w:r>
        <w:rPr/>
        <w:t xml:space="preserve">, то неопределенность измерения A при использовании гистограммы уменьшается с ростом M (число выборок): погрешность по стандартному отклонению амплитуды можно оценивать как </w:t>
      </w:r>
      <w:r>
        <w:rPr/>
      </w:r>
      <m:oMath xmlns:m="http://schemas.openxmlformats.org/officeDocument/2006/math">
        <m:r>
          <m:t xml:space="preserve">δ</m:t>
        </m:r>
        <m:r>
          <m:t xml:space="preserve">A</m:t>
        </m:r>
        <m:r>
          <m:t xml:space="preserve">∼</m:t>
        </m:r>
        <m:f>
          <m:num>
            <m:r>
              <m:t xml:space="preserve">σ</m:t>
            </m:r>
          </m:num>
          <m:den>
            <m:rad>
              <m:radPr>
                <m:degHide m:val="1"/>
              </m:radPr>
              <m:deg/>
              <m:e>
                <m:f>
                  <m:fPr>
                    <m:type m:val="lin"/>
                  </m:fPr>
                  <m:num>
                    <m:r>
                      <m:t xml:space="preserve">M</m:t>
                    </m:r>
                  </m:num>
                  <m:den>
                    <m:sSub>
                      <m:e>
                        <m:r>
                          <m:t xml:space="preserve">N</m:t>
                        </m:r>
                      </m:e>
                      <m:sub>
                        <m:r>
                          <m:t xml:space="preserve">p</m:t>
                        </m:r>
                      </m:sub>
                    </m:sSub>
                  </m:den>
                </m:f>
              </m:e>
            </m:rad>
          </m:den>
        </m:f>
      </m:oMath>
      <w:r>
        <w:rPr/>
        <w:t xml:space="preserve">, где </w:t>
      </w:r>
      <w:r>
        <w:rPr/>
      </w:r>
      <m:oMath xmlns:m="http://schemas.openxmlformats.org/officeDocument/2006/math">
        <m:sSub>
          <m:e>
            <m:r>
              <m:t xml:space="preserve">N</m:t>
            </m:r>
          </m:e>
          <m:sub>
            <m:r>
              <m:t xml:space="preserve">p</m:t>
            </m:r>
          </m:sub>
        </m:sSub>
      </m:oMath>
      <w:r>
        <w:rPr/>
        <w:t xml:space="preserve"> – число выборок на каждый уровень (зависит от формы). То есть при больших M относительная ошибка стремится к 0 (закон больших чисел). Для оценки периода средняя погрешность будет примерно </w:t>
      </w:r>
      <w:r>
        <w:rPr/>
      </w:r>
      <m:oMath xmlns:m="http://schemas.openxmlformats.org/officeDocument/2006/math">
        <m:r>
          <m:t xml:space="preserve">δ</m:t>
        </m:r>
        <m:r>
          <m:t xml:space="preserve">T</m:t>
        </m:r>
        <m:r>
          <m:t xml:space="preserve">∼</m:t>
        </m:r>
        <m:f>
          <m:num>
            <m:r>
              <m:t xml:space="preserve">T</m:t>
            </m:r>
            <m:r>
              <m:t xml:space="preserve">⋅</m:t>
            </m:r>
            <m:r>
              <m:t xml:space="preserve">δ</m:t>
            </m:r>
            <m:r>
              <m:t xml:space="preserve">k</m:t>
            </m:r>
          </m:num>
          <m:den>
            <m:r>
              <m:t xml:space="preserve">k</m:t>
            </m:r>
          </m:den>
        </m:f>
      </m:oMath>
      <w:r>
        <w:rPr/>
        <w:t xml:space="preserve">, где </w:t>
      </w:r>
      <w:r>
        <w:rPr/>
      </w:r>
      <m:oMath xmlns:m="http://schemas.openxmlformats.org/officeDocument/2006/math">
        <m:r>
          <m:t xml:space="preserve">k</m:t>
        </m:r>
      </m:oMath>
      <w:r>
        <w:rPr/>
        <w:t xml:space="preserve"> – число отсчетов на один период, </w:t>
      </w:r>
      <w:r>
        <w:rPr/>
      </w:r>
      <m:oMath xmlns:m="http://schemas.openxmlformats.org/officeDocument/2006/math">
        <m:r>
          <m:t xml:space="preserve">δ</m:t>
        </m:r>
        <m:r>
          <m:t xml:space="preserve">k</m:t>
        </m:r>
      </m:oMath>
      <w:r>
        <w:rPr/>
        <w:t xml:space="preserve"> – стандартное отклонение подсчетов (в пределах единиц, зависящих от джиттера). В условиях высокой SNR (например, &gt;20–30 дБ) метод дает точность порядка 0.1–1%.</w:t>
      </w:r>
    </w:p>
    <w:p>
      <w:pPr>
        <w:pStyle w:val="BodyText"/>
        <w:rPr/>
      </w:pPr>
      <w:r>
        <w:rPr>
          <w:b/>
          <w:bCs/>
        </w:rPr>
        <w:t>Импульсный шум:</w:t>
      </w:r>
      <w:r>
        <w:rPr/>
        <w:t xml:space="preserve"> Устойчивость к редким выбросам обеспечивается усреднением: одиночный импульс даст лишь один-два лишних счета в гистограмме и не изменит пиков. Для жесткости можно применить </w:t>
      </w:r>
      <w:r>
        <w:rPr>
          <w:i/>
          <w:iCs/>
        </w:rPr>
        <w:t>отброс выбросов</w:t>
      </w:r>
      <w:r>
        <w:rPr/>
        <w:t xml:space="preserve"> (например, игнорирование редких пиков гистограммы) или медианную фильтрацию перед формированием гистограммы.</w:t>
      </w:r>
    </w:p>
    <w:p>
      <w:pPr>
        <w:pStyle w:val="BodyText"/>
        <w:rPr/>
      </w:pPr>
      <w:r>
        <w:rPr>
          <w:b/>
          <w:bCs/>
        </w:rPr>
        <w:t>Псевдокод гистограммы:</w:t>
      </w:r>
    </w:p>
    <w:p>
      <w:pPr>
        <w:pStyle w:val="SourceCode"/>
        <w:rPr/>
      </w:pPr>
      <w:r>
        <w:rPr>
          <w:rStyle w:val="VerbatimChar"/>
        </w:rPr>
        <w:t>// Предполагаем, что hist[] уже заполнена</w:t>
      </w:r>
      <w:r>
        <w:rPr/>
        <w:br/>
      </w:r>
      <w:r>
        <w:rPr>
          <w:rStyle w:val="VerbatimChar"/>
        </w:rPr>
        <w:t>// Поиск трех пиков (минимум, средний, максимум)</w:t>
      </w:r>
      <w:r>
        <w:rPr/>
        <w:br/>
      </w:r>
      <w:r>
        <w:rPr>
          <w:rStyle w:val="VerbatimChar"/>
        </w:rPr>
        <w:t>int peak0 = max_index(hist[0..H/3]);      // нижний уровень</w:t>
      </w:r>
      <w:r>
        <w:rPr/>
        <w:br/>
      </w:r>
      <w:r>
        <w:rPr>
          <w:rStyle w:val="VerbatimChar"/>
        </w:rPr>
        <w:t>int peak2 = max_index(hist[2*H/3..H-1]);  // верхний уровень</w:t>
      </w:r>
      <w:r>
        <w:rPr/>
        <w:br/>
      </w:r>
      <w:r>
        <w:rPr>
          <w:rStyle w:val="VerbatimChar"/>
        </w:rPr>
        <w:t>int peak1 = max_index(hist[H/3..2*H/3]);  // средний (обычно ~нулевое смещение)</w:t>
      </w:r>
      <w:r>
        <w:rPr/>
        <w:br/>
      </w:r>
      <w:r>
        <w:rPr>
          <w:rStyle w:val="VerbatimChar"/>
        </w:rPr>
        <w:t>Amplitude = peak2 - peak0; // разница уровней</w:t>
      </w:r>
    </w:p>
    <w:p>
      <w:pPr>
        <w:pStyle w:val="FirstParagraph"/>
        <w:rPr/>
      </w:pPr>
      <w:bookmarkStart w:id="22" w:name="Xf64c5f9ab45e54f798af10260ebac52a5e30d58"/>
      <w:r>
        <w:rPr/>
        <w:t>Корректировка: для сигнала со смещением zero пиков может быть два (нижний и верхний); если средний уровень не появляется (существенный постоянный коэффициент), то peak1 игнорируется.</w:t>
      </w:r>
      <w:bookmarkEnd w:id="22"/>
    </w:p>
    <w:p>
      <w:pPr>
        <w:pStyle w:val="BodyText"/>
        <w:rPr/>
      </w:pPr>
      <w:r>
        <w:rPr/>
      </w:r>
    </w:p>
    <w:p>
      <w:pPr>
        <w:pStyle w:val="Heading2"/>
        <w:rPr/>
      </w:pPr>
      <w:bookmarkStart w:id="23" w:name="__RefHeading___Toc2181_1929968905"/>
      <w:bookmarkStart w:id="24" w:name="альтернативы-fft-и-корреляция"/>
      <w:bookmarkEnd w:id="23"/>
      <w:r>
        <w:rPr/>
        <w:t>2.7 Альтернативы: FFT и корреляция</w:t>
      </w:r>
    </w:p>
    <w:p>
      <w:pPr>
        <w:pStyle w:val="BodyText"/>
        <w:rPr/>
      </w:pPr>
      <w:r>
        <w:rPr>
          <w:b/>
          <w:bCs/>
        </w:rPr>
        <w:t>FFT-анализ:</w:t>
      </w:r>
      <w:r>
        <w:rPr/>
        <w:t xml:space="preserve"> Вычисление БПФ по Оцифрованному отрезку сигнала позволяет сразу получить спектр. Чтобы достичь необходимой частотной точности, нужно выбирать длинные отрезки (например, $N=1024\div8192$). При $F_s=18.6$ МГц 4096 точек – это 220 мкс, 8192 – 440 мкс задержки. Результирующая разрядность частоты $\Delta f \approx F_s/N$. Следует применять оконную функцию (Hann/Hamming) для уменьшения утечки спектра. Поскольку STM32F407 имеет DSP-сопроцессор, FFT на нем возможен (Си-библиотека CMSIS включает FFT-модуль</w:t>
      </w:r>
      <w:r>
        <w:fldChar w:fldCharType="begin"/>
      </w:r>
      <w:r>
        <w:rPr>
          <w:rStyle w:val="Hyperlink"/>
        </w:rPr>
        <w:instrText xml:space="preserve"> HYPERLINK "https://www.st.com/resource/en/application_note/an4841-digital-signal-processing-for-stm32-microcontrollers-using-cmsis-stmicroelectronics.pdf" \l ":~:text=The%20FFT%20,domain%20signal%20based%20on"</w:instrText>
      </w:r>
      <w:r>
        <w:rPr>
          <w:rStyle w:val="Hyperlink"/>
        </w:rPr>
        <w:fldChar w:fldCharType="separate"/>
      </w:r>
      <w:r>
        <w:rPr>
          <w:rStyle w:val="Hyperlink"/>
        </w:rPr>
        <w:t>[7]</w:t>
      </w:r>
      <w:r>
        <w:rPr>
          <w:rStyle w:val="Hyperlink"/>
        </w:rPr>
        <w:fldChar w:fldCharType="end"/>
      </w:r>
      <w:r>
        <w:fldChar w:fldCharType="begin"/>
      </w:r>
      <w:r>
        <w:rPr>
          <w:rStyle w:val="Hyperlink"/>
        </w:rPr>
        <w:instrText xml:space="preserve"> HYPERLINK "https://www.st.com/resource/en/application_note/an4841-digital-signal-processing-for-stm32-microcontrollers-using-cmsis-stmicroelectronics.pdf" \l ":~:text=Both%20Cortex%C2%AE,based%20STM32F7%20Series%20provide"</w:instrText>
      </w:r>
      <w:r>
        <w:rPr>
          <w:rStyle w:val="Hyperlink"/>
        </w:rPr>
        <w:fldChar w:fldCharType="separate"/>
      </w:r>
      <w:r>
        <w:rPr>
          <w:rStyle w:val="Hyperlink"/>
        </w:rPr>
        <w:t>[5]</w:t>
      </w:r>
      <w:r>
        <w:rPr>
          <w:rStyle w:val="Hyperlink"/>
        </w:rPr>
        <w:fldChar w:fldCharType="end"/>
      </w:r>
      <w:r>
        <w:rPr/>
        <w:t>), но большие FFT (N&gt;4096) могут быть медленными или невозможными в реальном времени. Для нашего макета рекомендуется выполнять FFT на ПК: MCU только копирует необходимые отсчеты.</w:t>
      </w:r>
    </w:p>
    <w:p>
      <w:pPr>
        <w:pStyle w:val="BodyText"/>
        <w:rPr/>
      </w:pPr>
      <w:r>
        <w:rPr>
          <w:b/>
          <w:bCs/>
        </w:rPr>
        <w:t>Корреляция:</w:t>
      </w:r>
      <w:r>
        <w:rPr/>
        <w:t xml:space="preserve"> Автокорреляция (АКФ) или кросс-корреляция с опорным шаблоном применяются для оценки периода и формы. Автокорреляция пикового сигнала даст периодическую функцию (см. рис. АКФ</w:t>
      </w:r>
      <w:r>
        <w:fldChar w:fldCharType="begin"/>
      </w:r>
      <w:r>
        <w:rPr>
          <w:rStyle w:val="Hyperlink"/>
        </w:rPr>
        <w:instrText xml:space="preserve"> HYPERLINK "https://ru.wikipedia.org/wiki/%D0%90%D0%B2%D1%82%D0%BE%D0%BA%D0%BE%D1%80%D1%80%D0%B5%D0%BB%D1%8F%D1%86%D0%B8%D0%BE%D0%BD%D0%BD%D0%B0%D1%8F_%D1%84%D1%83%D0%BD%D0%BA%D1%86%D0%B8%D1%8F" \l ":~:text=%D0%95%D1%81%D0%BB%D0%B8%20%D0%B8%D1%81%D1%85%D0%BE%D0%B4%D0%BD%D0%B0%D1%8F%20%D1%84%D1%83%D0%BD%D0%BA%D1%86%D0%B8%D1%8F%20%D1%81%D1%82%D1%80%D0%BE%D0%B3%D0%BE%20%D0%BF%D0%B5%D1%80%D0%B8%D0%BE%D0%B4%D0%B8%D1%87%D0%B5%D1%81%D0%BA%D0%B0%D1%8F,75%2C%20%D0%BD%D0%B0%D0%BF%D1%80%D0%B8%D0%BC%D0%B5%D1%80%2C%20%D1%8D%D0%BB%D0%B5%D0%BA%D1%82%D1%80%D0%BE%D1%8D%D0%BD%D1%86%D0%B5%D1%84%D0%B0%D0%BB%D0%BE%D0%B3%D1%80%D0%B0%D0%BC%D0%BC%D1%8B%20%D1%87%D0%B5%D0%BB%D0%BE%D0%B2%D0%B5%D0%BA%D0%B0"</w:instrText>
      </w:r>
      <w:r>
        <w:rPr>
          <w:rStyle w:val="Hyperlink"/>
        </w:rPr>
        <w:fldChar w:fldCharType="separate"/>
      </w:r>
      <w:r>
        <w:rPr>
          <w:rStyle w:val="Hyperlink"/>
        </w:rPr>
        <w:t>[8]</w:t>
      </w:r>
      <w:r>
        <w:rPr>
          <w:rStyle w:val="Hyperlink"/>
        </w:rPr>
        <w:fldChar w:fldCharType="end"/>
      </w:r>
      <w:r>
        <w:rPr/>
        <w:t xml:space="preserve">). Требуется буфер ≥2T (два периода) и $O(N\log N)$ операций, что на STM32 сложно. Чаще корреляцию реализуют на FPGA/DSP или ПК. </w:t>
      </w:r>
      <w:r>
        <w:rPr>
          <w:i/>
          <w:iCs/>
        </w:rPr>
        <w:t>Когда применять:</w:t>
      </w:r>
      <w:r>
        <w:rPr/>
        <w:t xml:space="preserve"> когда период меняется во времени, или для обнаружения шаблона в шуме; применяется для обработки ЧМ или периодических импульсов в радаре.</w:t>
      </w:r>
    </w:p>
    <w:p>
      <w:pPr>
        <w:pStyle w:val="BodyText"/>
        <w:rPr/>
      </w:pPr>
      <w:r>
        <w:rPr/>
        <w:t>Когда предпочесть тот или иной метод:</w:t>
      </w:r>
    </w:p>
    <w:p>
      <w:pPr>
        <w:pStyle w:val="BodyText"/>
        <w:rPr/>
      </w:pPr>
      <w:r>
        <w:rPr/>
        <w:t xml:space="preserve">Для </w:t>
      </w:r>
      <w:r>
        <w:rPr>
          <w:b/>
          <w:bCs/>
        </w:rPr>
        <w:t>низкобюджетных встроенных систем</w:t>
      </w:r>
      <w:r>
        <w:rPr/>
        <w:t xml:space="preserve"> (вариант A): достаточно компаратора/счетчика (если нужен только $f$), или простого АЦП + MCU (низкая частота) с бПФ или нулевыми пересечениями.</w:t>
      </w:r>
    </w:p>
    <w:p>
      <w:pPr>
        <w:pStyle w:val="BodyText"/>
        <w:rPr/>
      </w:pPr>
      <w:r>
        <w:rPr/>
        <w:t xml:space="preserve">Для </w:t>
      </w:r>
      <w:r>
        <w:rPr>
          <w:b/>
          <w:bCs/>
        </w:rPr>
        <w:t>гибкой, но не быстрой обработки</w:t>
      </w:r>
      <w:r>
        <w:rPr/>
        <w:t xml:space="preserve"> (вариант B): ADC+MCU (наш случай). Гистограмма + среднее позволяет компенсировать шум, а ПО на ПК делает основную работу. Подойдет для тестов и калибровки устройств (например, стенд «Кристалл» – уже использует этот подход).</w:t>
      </w:r>
    </w:p>
    <w:p>
      <w:pPr>
        <w:pStyle w:val="BodyText"/>
        <w:rPr/>
      </w:pPr>
      <w:r>
        <w:rPr/>
        <w:t xml:space="preserve">Для </w:t>
      </w:r>
      <w:r>
        <w:rPr>
          <w:b/>
          <w:bCs/>
        </w:rPr>
        <w:t>лаборатории или высокоскоростного режима</w:t>
      </w:r>
      <w:r>
        <w:rPr/>
        <w:t xml:space="preserve"> (вариант C): много-ГГц осциллографы/FPGA+ADC (как Tektronix TDS7404B</w:t>
      </w:r>
      <w:r>
        <w:fldChar w:fldCharType="begin"/>
      </w:r>
      <w:r>
        <w:rPr>
          <w:rStyle w:val="Hyperlink"/>
        </w:rPr>
        <w:instrText xml:space="preserve"> HYPERLINK "https://uwbs.ru/development/example-measurements/" \l ":~:text=%D0%92%20%D0%BA%D0%B0%D1%87%D0%B5%D1%81%D1%82%D0%B2%D0%B5%20%D0%B8%D0%B7%D0%BC%D0%B5%D1%80%D0%B8%D1%82%D0%B5%D0%BB%D1%8F%20%D0%BF%D0%B0%D1%80%D0%B0%D0%BC%D0%B5%D1%82%D1%80%D0%BE%D0%B2%20%D1%81%D0%B8%D0%B3%D0%BD%D0%B0%D0%BB%D0%BE%D0%B2,%D0%A2%D0%B0%D0%BA%D0%B6%D0%B5%20%D0%B8%D1%81%D0%BF%D0%BE%D0%BB%D1%8C%D0%B7%D0%BE%D0%B2%D0%B0%D0%BD%D0%B8%D0%B5%20%D1%82%D0%B5%D1%85%D0%BD%D0%BE%D0%BB%D0%BE%D0%B3%D0%B8%D0%B8%20%D1%86%D0%B8%D1%84%D1%80%D0%BE%D0%B2%D0%BE%D0%B3%D0%BE%20%D1%84%D0%BE%D1%81%D1%84%D0%BE%D1%80%D0%B0"</w:instrText>
      </w:r>
      <w:r>
        <w:rPr>
          <w:rStyle w:val="Hyperlink"/>
        </w:rPr>
        <w:fldChar w:fldCharType="separate"/>
      </w:r>
      <w:r>
        <w:rPr>
          <w:rStyle w:val="Hyperlink"/>
        </w:rPr>
        <w:t>[6]</w:t>
      </w:r>
      <w:r>
        <w:rPr>
          <w:rStyle w:val="Hyperlink"/>
        </w:rPr>
        <w:fldChar w:fldCharType="end"/>
      </w:r>
      <w:r>
        <w:rPr/>
        <w:t>, спектроанализатор). Всегда обеспечивают максимальную точность и скорость, но далеко не бюджетный вариант.</w:t>
      </w:r>
      <w:bookmarkEnd w:id="24"/>
    </w:p>
    <w:p>
      <w:pPr>
        <w:pStyle w:val="BodyText"/>
        <w:rPr/>
      </w:pPr>
      <w:r>
        <w:rPr/>
      </w:r>
    </w:p>
    <w:p>
      <w:pPr>
        <w:pStyle w:val="Heading2"/>
        <w:rPr/>
      </w:pPr>
      <w:bookmarkStart w:id="25" w:name="__RefHeading___Toc2183_1929968905"/>
      <w:bookmarkStart w:id="26" w:name="план-экспериментальной-проверки-гл.-3"/>
      <w:bookmarkEnd w:id="25"/>
      <w:r>
        <w:rPr/>
        <w:t>2.8 План экспериментальной проверки</w:t>
      </w:r>
    </w:p>
    <w:p>
      <w:pPr>
        <w:pStyle w:val="BodyText"/>
        <w:rPr/>
      </w:pPr>
      <w:r>
        <w:rPr/>
        <w:t>Для подтверждения результатов предлагается следующий план испытаний:</w:t>
      </w:r>
    </w:p>
    <w:p>
      <w:pPr>
        <w:pStyle w:val="BodyText"/>
        <w:rPr/>
      </w:pPr>
      <w:r>
        <w:rPr>
          <w:b/>
          <w:bCs/>
        </w:rPr>
        <w:t>Тестовые сигналы:</w:t>
      </w:r>
      <w:r>
        <w:rPr/>
        <w:t xml:space="preserve"> Синусоиды, прямоугольники, пилы на частотах, например, 1 кГц, 10 кГц, 100 кГц. Обеспечить стабильные амплитуды. Проверить систему без шума (эталонное измерение частоты и амплитуды).</w:t>
      </w:r>
    </w:p>
    <w:p>
      <w:pPr>
        <w:pStyle w:val="BodyText"/>
        <w:rPr/>
      </w:pPr>
      <w:r>
        <w:rPr>
          <w:b/>
          <w:bCs/>
        </w:rPr>
        <w:t>Добавление шума:</w:t>
      </w:r>
      <w:r>
        <w:rPr/>
        <w:t xml:space="preserve"> Смешивание аддитивного белого шума (5–40 дБ SNR), узкополосных помех (имитация ЭМИ), импульсных выбросов. Фиксировать SNR и амплитуду/частоту измеренного сигнала.</w:t>
      </w:r>
    </w:p>
    <w:p>
      <w:pPr>
        <w:pStyle w:val="BodyText"/>
        <w:rPr/>
      </w:pPr>
      <w:r>
        <w:rPr>
          <w:b/>
          <w:bCs/>
        </w:rPr>
        <w:t>Метрики погрешности:</w:t>
      </w:r>
      <w:r>
        <w:rPr/>
        <w:t xml:space="preserve"> Для каждого теста вычислить смещение (bias) и стандартное отклонение (variance) оценки амплитуды и частоты. Построить зависимости </w:t>
      </w:r>
      <w:r>
        <w:rPr>
          <w:rStyle w:val="VerbatimChar"/>
        </w:rPr>
        <w:t>ошибка vs SNR</w:t>
      </w:r>
      <w:r>
        <w:rPr/>
        <w:t xml:space="preserve">, </w:t>
      </w:r>
      <w:r>
        <w:rPr>
          <w:rStyle w:val="VerbatimChar"/>
        </w:rPr>
        <w:t>ошибка vs частота</w:t>
      </w:r>
      <w:r>
        <w:rPr/>
        <w:t xml:space="preserve">, </w:t>
      </w:r>
      <w:r>
        <w:rPr>
          <w:rStyle w:val="VerbatimChar"/>
        </w:rPr>
        <w:t>ошибка vs M</w:t>
      </w:r>
      <w:r>
        <w:rPr/>
        <w:t xml:space="preserve"> (количество отсчетов). Оценить вероятность ложного срабатывания (false alarm) при отсутствии сигнала и вероятность пропуска (miss) при появлении слабого сигнала.</w:t>
      </w:r>
    </w:p>
    <w:p>
      <w:pPr>
        <w:pStyle w:val="BodyText"/>
        <w:rPr/>
      </w:pPr>
      <w:r>
        <w:rPr>
          <w:b/>
          <w:bCs/>
        </w:rPr>
        <w:t>Сравнение методов:</w:t>
      </w:r>
      <w:r>
        <w:rPr/>
        <w:t xml:space="preserve"> В тестах параллельно проводить измерение на стандартном эталонном приборе (цифровом осциллографе 20 GS/s и/или частотомере) и на нашем макете. Например, для каждого сигнала получить FFT (для проверки спектральных компонентов) и гистограмму.</w:t>
      </w:r>
    </w:p>
    <w:p>
      <w:pPr>
        <w:pStyle w:val="BodyText"/>
        <w:rPr/>
      </w:pPr>
      <w:r>
        <w:rPr>
          <w:b/>
          <w:bCs/>
        </w:rPr>
        <w:t>Статистика гистограммы:</w:t>
      </w:r>
      <w:r>
        <w:rPr/>
        <w:t xml:space="preserve"> Проверить корректность алгоритма (выявление правильных пиков гистограммы) при разных длительностях выборки и при наличии спайковых помех.</w:t>
      </w:r>
    </w:p>
    <w:p>
      <w:pPr>
        <w:pStyle w:val="BodyText"/>
        <w:rPr/>
      </w:pPr>
      <w:r>
        <w:rPr>
          <w:b/>
          <w:bCs/>
        </w:rPr>
        <w:t>Измерение нагрузки MCU:</w:t>
      </w:r>
      <w:r>
        <w:rPr/>
        <w:t xml:space="preserve"> Измерить занятость DMA и CPU при разных настройках (чтобы убедиться, что MCU успевает при 18.6 МС/с). Замерить джиттер тактов (осциллографом) и его влияние.</w:t>
      </w:r>
      <w:bookmarkEnd w:id="26"/>
    </w:p>
    <w:p>
      <w:pPr>
        <w:pStyle w:val="BodyText"/>
        <w:rPr/>
      </w:pPr>
      <w:r>
        <w:rPr/>
      </w:r>
    </w:p>
    <w:p>
      <w:pPr>
        <w:pStyle w:val="Heading2"/>
        <w:rPr/>
      </w:pPr>
      <w:bookmarkStart w:id="27" w:name="__RefHeading___Toc2185_1929968905"/>
      <w:bookmarkEnd w:id="27"/>
      <w:r>
        <w:rPr/>
        <w:t>2.9</w:t>
      </w:r>
      <w:bookmarkStart w:id="28" w:name="X2119945fa5810b9d70c01541b603985e23db768"/>
      <w:r>
        <w:rPr/>
        <w:t>. Описание и обоснование выбранного подхода</w:t>
      </w:r>
    </w:p>
    <w:p>
      <w:pPr>
        <w:pStyle w:val="BodyText"/>
        <w:rPr/>
      </w:pPr>
      <w:r>
        <w:rPr>
          <w:b/>
          <w:bCs/>
        </w:rPr>
        <w:t>Выбор компонентов:</w:t>
      </w:r>
      <w:r>
        <w:rPr/>
        <w:t xml:space="preserve"> Предложенный макет основан на микроконтроллере STM32F407 (ARM Cortex-M4, 168 МГц) и высокоскоростном АЦП от Analog Devices (8 бит, скорость до 40 Мвыб/с). STM32F407 содержит три 12-битных АЦП с максимальной скоростью 2.4</w:t>
      </w:r>
      <w:r>
        <w:rPr>
          <w:rFonts w:cs="Arial" w:ascii="Arial" w:hAnsi="Arial"/>
        </w:rPr>
        <w:t> </w:t>
      </w:r>
      <w:r>
        <w:rPr/>
        <w:t>MS/s (в 3-хканальном режиме до 7.2</w:t>
      </w:r>
      <w:r>
        <w:rPr>
          <w:rFonts w:cs="Arial" w:ascii="Arial" w:hAnsi="Arial"/>
        </w:rPr>
        <w:t> </w:t>
      </w:r>
      <w:r>
        <w:rPr/>
        <w:t>MS/s)</w:t>
      </w:r>
      <w:r>
        <w:fldChar w:fldCharType="begin"/>
      </w:r>
      <w:r>
        <w:rPr>
          <w:rStyle w:val="Hyperlink"/>
        </w:rPr>
        <w:instrText xml:space="preserve"> HYPERLINK "https://www.st.com/resource/en/datasheet/dm00037051.pdf" \l ":~:text=%E2%80%A2%203%C3%9712,MSPS%20in%20triple%20interleaved%20mode"</w:instrText>
      </w:r>
      <w:r>
        <w:rPr>
          <w:rStyle w:val="Hyperlink"/>
        </w:rPr>
        <w:fldChar w:fldCharType="separate"/>
      </w:r>
      <w:r>
        <w:rPr>
          <w:rStyle w:val="Hyperlink"/>
        </w:rPr>
        <w:t>[12]</w:t>
      </w:r>
      <w:r>
        <w:rPr>
          <w:rStyle w:val="Hyperlink"/>
        </w:rPr>
        <w:fldChar w:fldCharType="end"/>
      </w:r>
      <w:r>
        <w:rPr/>
        <w:t>, что недостаточно для наших целей. Поэтому выбран внешний SAR-ADC от Analog Devices, способный в реальном времени снимать сигнал с частотой до десятков МГц (многие современные АЦП имеют до 125</w:t>
      </w:r>
      <w:r>
        <w:rPr>
          <w:rFonts w:cs="Arial" w:ascii="Arial" w:hAnsi="Arial"/>
        </w:rPr>
        <w:t> </w:t>
      </w:r>
      <w:r>
        <w:rPr/>
        <w:t>MS/s</w:t>
      </w:r>
      <w:r>
        <w:fldChar w:fldCharType="begin"/>
      </w:r>
      <w:r>
        <w:rPr>
          <w:rStyle w:val="Hyperlink"/>
        </w:rPr>
        <w:instrText xml:space="preserve"> HYPERLINK "https://www.analog.com/en/product-category/high-speed-adcs.html" \l ":~:text=Analog%20Devices%E2%80%99%20high%20speed%20analog,10%20MSPS%20to%20125%20MSPS"</w:instrText>
      </w:r>
      <w:r>
        <w:rPr>
          <w:rStyle w:val="Hyperlink"/>
        </w:rPr>
        <w:fldChar w:fldCharType="separate"/>
      </w:r>
      <w:r>
        <w:rPr>
          <w:rStyle w:val="Hyperlink"/>
        </w:rPr>
        <w:t>[13]</w:t>
      </w:r>
      <w:r>
        <w:rPr>
          <w:rStyle w:val="Hyperlink"/>
        </w:rPr>
        <w:fldChar w:fldCharType="end"/>
      </w:r>
      <w:r>
        <w:rPr/>
        <w:t>).</w:t>
      </w:r>
    </w:p>
    <w:p>
      <w:pPr>
        <w:pStyle w:val="BodyText"/>
        <w:rPr/>
      </w:pPr>
      <w:r>
        <w:rPr>
          <w:b/>
          <w:bCs/>
        </w:rPr>
        <w:t>Принцип измерения:</w:t>
      </w:r>
      <w:r>
        <w:rPr/>
        <w:t xml:space="preserve"> Сигнал непрерывно дискретизируется АЦП с периодом ~53.8 нс (18.6 Мвыб/с) и передается через паралелльный интерфейс в STM32F407 с помощью DMA. Для оценки </w:t>
      </w:r>
      <w:r>
        <w:rPr>
          <w:b/>
          <w:bCs/>
        </w:rPr>
        <w:t>амплитуды</w:t>
      </w:r>
      <w:r>
        <w:rPr/>
        <w:t xml:space="preserve"> строится гистограмма значений выборок: пики гистограммы соответствуют характерным уровням сигнала (нижний полюс, середина, верхний полюс). Текущее значение амплитуды берется по разнице между верхним и нижним пиками гистограммы (или высотой центральной линии). Такой подход устойчив к шумовым выбросам: мощные шумовые выбросы приводят лишь к редким заполнениям гистограммы, но основной трехпиковый паттерн сохраняется. Для оценки </w:t>
      </w:r>
      <w:r>
        <w:rPr>
          <w:b/>
          <w:bCs/>
        </w:rPr>
        <w:t>частоты</w:t>
      </w:r>
      <w:r>
        <w:rPr/>
        <w:t xml:space="preserve"> используется средний период: например, подсчет числа отсчетов ADC между совпадениями пиков (или усреднение интервала нулевых пересечений). Конкретный метод – подсчет среднего количества отсчетов между последовательными аналогичными точками сигнала – позволяет оценить $T$ с дробным разрешением. После первичной обработки в STM32F407 поток данных через USB или Ethernet передается на компьютер.</w:t>
      </w:r>
    </w:p>
    <w:p>
      <w:pPr>
        <w:pStyle w:val="BodyText"/>
        <w:rPr/>
      </w:pPr>
      <w:r>
        <w:rPr>
          <w:b/>
          <w:bCs/>
        </w:rPr>
        <w:t>Ожидаемая производительность:</w:t>
      </w:r>
      <w:r>
        <w:rPr/>
        <w:t xml:space="preserve"> При частоте измеряемого сигнала до $\sim$200 кГц (~5 мкс период), при 18.6 MS/s получается ~93 отсчета на период. Это обеспечивает точность измерения амплитуды до $\sim1\%$ (при 8–12 битах АЦП) и частоты до долей процента, в зависимости от SNR. Встроенные АЦП STM32 были бы слишком медленны; внешний АЦП дает прецизионный образ сигнала с малым джиттером. Ограничения: при переходе на МГц-сигналы необходимо убедиться, что DMA и MCU успевают обрабатывать данные. Также амплитуда ограничена входным диапазоном АЦП (±Vref). Шум АЦП и низкое разрешение (8–12 бит) накладывают погрешность (~несколько единиц младшего бита на пике). Однако за счет большого объема выборок система умеет усреднять ошибки.</w:t>
      </w:r>
    </w:p>
    <w:p>
      <w:pPr>
        <w:pStyle w:val="BodyText"/>
        <w:rPr/>
      </w:pPr>
      <w:r>
        <w:rPr>
          <w:b/>
          <w:bCs/>
        </w:rPr>
        <w:t>Преимущества постобработки на ПК:</w:t>
      </w:r>
      <w:r>
        <w:rPr/>
        <w:t xml:space="preserve"> Собранный поток отсчетов можно передать на PC для более сложного анализа (FFT, алгоритмы линейной регрессии, корреляции, синхронизации нескольких каналов). Например, оценка фазовых искажений или выделение призвуков возможны только при хранении полной временной последовательности. Такой подход дает лучшую адаптивность – алгоритмы легко обновляются в ПО, в отличие от жесткой встроенной логики аналого-цифровых схем.</w:t>
      </w:r>
      <w:bookmarkEnd w:id="28"/>
    </w:p>
    <w:p>
      <w:pPr>
        <w:pStyle w:val="BodyText"/>
        <w:rPr>
          <w:lang w:val="ru-RU"/>
        </w:rPr>
      </w:pPr>
      <w:r>
        <w:rPr>
          <w:lang w:val="ru-RU"/>
        </w:rPr>
      </w:r>
    </w:p>
    <w:p>
      <w:pPr>
        <w:pStyle w:val="BodyText"/>
        <w:rPr>
          <w:lang w:val="ru-RU"/>
        </w:rPr>
      </w:pPr>
      <w:r>
        <w:rPr>
          <w:lang w:val="ru-RU"/>
        </w:rPr>
      </w:r>
      <w:bookmarkStart w:id="29" w:name="__RefHeading___Toc229529024"/>
      <w:bookmarkStart w:id="30" w:name="__RefHeading___Toc229529024"/>
      <w:bookmarkEnd w:id="30"/>
      <w:r>
        <w:br w:type="page"/>
      </w:r>
    </w:p>
    <w:p>
      <w:pPr>
        <w:pStyle w:val="Heading1"/>
        <w:numPr>
          <w:ilvl w:val="0"/>
          <w:numId w:val="1"/>
        </w:numPr>
        <w:spacing w:before="0" w:after="0"/>
        <w:rPr/>
      </w:pPr>
      <w:bookmarkStart w:id="31" w:name="__RefHeading___Toc229529025"/>
      <w:bookmarkEnd w:id="31"/>
      <w:r>
        <w:rPr/>
        <w:t>СПИСОК ИСПОЛЬЗОВАННЫХ ИСТОЧНИКОВ</w:t>
      </w:r>
    </w:p>
    <w:p>
      <w:pPr>
        <w:pStyle w:val="BodyText"/>
        <w:rPr/>
      </w:pPr>
      <w:r>
        <w:rPr/>
      </w:r>
    </w:p>
    <w:p>
      <w:pPr>
        <w:pStyle w:val="BodyText"/>
        <w:rPr/>
      </w:pPr>
      <w:r>
        <w:rPr>
          <w:spacing w:val="-2"/>
          <w:sz w:val="28"/>
          <w:szCs w:val="28"/>
        </w:rPr>
        <w:t xml:space="preserve">1. </w:t>
      </w:r>
      <w:r>
        <w:rPr>
          <w:sz w:val="28"/>
          <w:szCs w:val="28"/>
        </w:rPr>
        <w:t xml:space="preserve">Новиков, Ю. Н. Подготовка и защита магистерских диссертаций и бакалаврских работ : учебно-методическое пособие / Ю. Н. Новиков. — 2-е изд., стер. — Санкт-Петербург : Лань, 2022. — 32 с. — ISBN 978-5-8114-1449-9. — Текст : электронный // Лань : электронно-библиотечная система. — URL: </w:t>
      </w:r>
      <w:hyperlink r:id="rId9">
        <w:r>
          <w:rPr>
            <w:rStyle w:val="Hyperlink"/>
            <w:sz w:val="28"/>
            <w:szCs w:val="28"/>
          </w:rPr>
          <w:t>https://e.lanbook.com/book/212054</w:t>
        </w:r>
      </w:hyperlink>
      <w:r>
        <w:rPr>
          <w:sz w:val="28"/>
          <w:szCs w:val="28"/>
        </w:rPr>
        <w:t xml:space="preserve">  (дата обращения: 13.05.2026). — Режим доступа: для авториз. пользователей.</w:t>
      </w:r>
    </w:p>
    <w:p>
      <w:pPr>
        <w:pStyle w:val="BodyText"/>
        <w:rPr>
          <w:rFonts w:ascii="Times New Roman" w:hAnsi="Times New Roman"/>
          <w:sz w:val="28"/>
          <w:szCs w:val="28"/>
        </w:rPr>
      </w:pPr>
      <w:r>
        <w:rPr>
          <w:sz w:val="28"/>
          <w:szCs w:val="28"/>
        </w:rPr>
        <w:t xml:space="preserve">2. Выполнение и оформление выпускных квалификационных работ, научно-исследовательских работ, курсовых работ магистров и отчетов по практикам : методические указания / М. Б. Быкова, Ж. А. Гореева, Н. С. Козлова, Д. А. Подгорный. — Москва : Издательский Дом МИСиС, 2017. — 76 c. — Текст : электронный // Цифровой образовательный ресурс IPR SMART : [сайт]. — URL: </w:t>
      </w:r>
      <w:hyperlink r:id="rId10">
        <w:r>
          <w:rPr>
            <w:rStyle w:val="Hyperlink"/>
            <w:sz w:val="28"/>
            <w:szCs w:val="28"/>
          </w:rPr>
          <w:t>https://www.iprbookshop.ru/72577.html</w:t>
        </w:r>
      </w:hyperlink>
      <w:r>
        <w:rPr>
          <w:sz w:val="28"/>
          <w:szCs w:val="28"/>
        </w:rPr>
        <w:t xml:space="preserve">  (дата обращения: 13.05.2026). — Режим доступа: для авторизир. пользователей</w:t>
      </w:r>
    </w:p>
    <w:p>
      <w:pPr>
        <w:pStyle w:val="BodyText"/>
        <w:rPr>
          <w:rFonts w:ascii="Times New Roman" w:hAnsi="Times New Roman"/>
          <w:b/>
          <w:caps/>
          <w:spacing w:val="-2"/>
          <w:sz w:val="28"/>
          <w:szCs w:val="28"/>
        </w:rPr>
      </w:pPr>
      <w:r>
        <w:rPr>
          <w:sz w:val="28"/>
          <w:szCs w:val="28"/>
        </w:rPr>
        <w:t xml:space="preserve">3. Положение о практике обучающихся, осваивающих образовательные программы высшего образования – программы бакалавриата, специалитета и магистратуры — Режим доступа: </w:t>
      </w:r>
      <w:hyperlink r:id="rId11">
        <w:r>
          <w:rPr>
            <w:rStyle w:val="Hyperlink"/>
            <w:sz w:val="28"/>
            <w:szCs w:val="28"/>
          </w:rPr>
          <w:t>http://oreluniver.ru/support/education</w:t>
        </w:r>
      </w:hyperlink>
    </w:p>
    <w:p>
      <w:pPr>
        <w:pStyle w:val="BodyText"/>
        <w:rPr>
          <w:rFonts w:ascii="Times New Roman" w:hAnsi="Times New Roman"/>
          <w:sz w:val="28"/>
          <w:szCs w:val="28"/>
        </w:rPr>
      </w:pPr>
      <w:r>
        <w:rPr>
          <w:sz w:val="28"/>
          <w:szCs w:val="28"/>
        </w:rPr>
        <w:t xml:space="preserve">4. Положение о выпускной квалификационной работе — Режим доступа: </w:t>
      </w:r>
      <w:hyperlink r:id="rId12">
        <w:r>
          <w:rPr>
            <w:rStyle w:val="Hyperlink"/>
            <w:sz w:val="28"/>
            <w:szCs w:val="28"/>
          </w:rPr>
          <w:t>http://oreluniver.ru/support/education</w:t>
        </w:r>
      </w:hyperlink>
    </w:p>
    <w:p>
      <w:pPr>
        <w:pStyle w:val="BodyText"/>
        <w:rPr>
          <w:rFonts w:ascii="Times New Roman" w:hAnsi="Times New Roman"/>
          <w:sz w:val="28"/>
          <w:szCs w:val="28"/>
          <w:highlight w:val="yellow"/>
        </w:rPr>
      </w:pPr>
      <w:r>
        <w:rPr>
          <w:sz w:val="28"/>
          <w:szCs w:val="28"/>
        </w:rPr>
        <w:t>5. Лобанова В. А. Выполнение и защита выпускной квалификационной работы : методические указания по выполнению выпускной квалификационной работы : направление 11.04.03 «Конструирование и технология электронных средств» / В. А. Лобанова, С. Л. Косчинский, О. А. Воронина. – Орел : ОГУ имени И. С. Тургенева, 2025. – 36 с. — URL:</w:t>
      </w:r>
      <w:r>
        <w:rPr>
          <w:rFonts w:cs="Arial" w:ascii="Arial" w:hAnsi="Arial"/>
          <w:color w:val="212529"/>
          <w:shd w:fill="FFFFFF" w:val="clear"/>
        </w:rPr>
        <w:t> </w:t>
      </w:r>
      <w:hyperlink r:id="rId13">
        <w:r>
          <w:rPr>
            <w:rStyle w:val="Hyperlink"/>
            <w:color w:val="0D6EFD"/>
            <w:sz w:val="28"/>
            <w:szCs w:val="28"/>
            <w:shd w:fill="FFFFFF" w:val="clear"/>
          </w:rPr>
          <w:t>https://elib.oreluniver.ru/m/19d3f6fa-9253-4b83-9a09-daa98a7532dd</w:t>
        </w:r>
      </w:hyperlink>
      <w:r>
        <w:rPr/>
        <w:t xml:space="preserve"> </w:t>
      </w:r>
      <w:r>
        <w:rPr>
          <w:sz w:val="28"/>
          <w:szCs w:val="28"/>
        </w:rPr>
        <w:t>(дата обращения: 13.05.2026). — Режим доступа: для авторизир. пользователей</w:t>
      </w:r>
    </w:p>
    <w:p>
      <w:pPr>
        <w:pStyle w:val="BodyText"/>
        <w:rPr/>
      </w:pPr>
      <w:r>
        <w:rPr>
          <w:sz w:val="28"/>
          <w:szCs w:val="28"/>
          <w:shd w:fill="auto" w:val="clear"/>
        </w:rPr>
        <w:t xml:space="preserve">6. </w:t>
      </w:r>
      <w:r>
        <w:rPr>
          <w:sz w:val="28"/>
          <w:szCs w:val="28"/>
        </w:rPr>
        <w:t xml:space="preserve">Периодические сигналы </w:t>
      </w:r>
      <w:hyperlink r:id="rId14">
        <w:r>
          <w:rPr>
            <w:rStyle w:val="Hyperlink"/>
            <w:sz w:val="28"/>
            <w:szCs w:val="28"/>
          </w:rPr>
          <w:t>https://studfile.net/preview/7013044/page:2</w:t>
        </w:r>
      </w:hyperlink>
    </w:p>
    <w:p>
      <w:pPr>
        <w:pStyle w:val="BodyText"/>
        <w:rPr/>
      </w:pPr>
      <w:r>
        <w:rPr/>
        <w:t>7. Контрольно-индикационный прибор Пикор-Лед. Измерение характеристик изделий https://uwbs.ru/development/example-measurements/</w:t>
      </w:r>
      <w:r>
        <w:br w:type="page"/>
      </w:r>
    </w:p>
    <w:p>
      <w:pPr>
        <w:pStyle w:val="Normal"/>
        <w:shd w:val="clear" w:color="auto" w:fill="FFFFFF"/>
        <w:spacing w:lineRule="auto" w:line="240" w:before="0" w:after="0"/>
        <w:ind w:hanging="0"/>
        <w:rPr>
          <w:rFonts w:ascii="Times New Roman" w:hAnsi="Times New Roman"/>
          <w:sz w:val="28"/>
          <w:szCs w:val="28"/>
        </w:rPr>
      </w:pPr>
      <w:r>
        <w:rPr>
          <w:rFonts w:ascii="Times New Roman" w:hAnsi="Times New Roman"/>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lang w:eastAsia="ru-RU"/>
        </w:rPr>
      </w:pPr>
      <w:r>
        <w:rPr>
          <w:rFonts w:cs="Times New Roman CYR" w:ascii="Times New Roman CYR" w:hAnsi="Times New Roman CYR"/>
          <w:sz w:val="28"/>
          <w:szCs w:val="28"/>
          <w:lang w:eastAsia="ru-RU"/>
        </w:rPr>
        <mc:AlternateContent>
          <mc:Choice Requires="wps">
            <w:drawing>
              <wp:anchor behindDoc="0" distT="5080" distB="5080" distL="5080" distR="5080" simplePos="0" locked="0" layoutInCell="1" allowOverlap="1" relativeHeight="87">
                <wp:simplePos x="0" y="0"/>
                <wp:positionH relativeFrom="column">
                  <wp:posOffset>2840355</wp:posOffset>
                </wp:positionH>
                <wp:positionV relativeFrom="paragraph">
                  <wp:posOffset>-598170</wp:posOffset>
                </wp:positionV>
                <wp:extent cx="680085" cy="248920"/>
                <wp:effectExtent l="5080" t="5080" r="5080" b="5080"/>
                <wp:wrapNone/>
                <wp:docPr id="4" name="Прямоугольник 39"/>
                <a:graphic xmlns:a="http://schemas.openxmlformats.org/drawingml/2006/main">
                  <a:graphicData uri="http://schemas.microsoft.com/office/word/2010/wordprocessingShape">
                    <wps:wsp>
                      <wps:cNvSpPr/>
                      <wps:spPr>
                        <a:xfrm>
                          <a:off x="0" y="0"/>
                          <a:ext cx="680040" cy="248760"/>
                        </a:xfrm>
                        <a:prstGeom prst="rect">
                          <a:avLst/>
                        </a:prstGeom>
                        <a:solidFill>
                          <a:srgbClr val="ffffff"/>
                        </a:solidFill>
                        <a:ln w="9360">
                          <a:solidFill>
                            <a:srgbClr val="ffffff"/>
                          </a:solidFill>
                          <a:round/>
                        </a:ln>
                      </wps:spPr>
                      <wps:style>
                        <a:lnRef idx="0"/>
                        <a:fillRef idx="0"/>
                        <a:effectRef idx="0"/>
                        <a:fontRef idx="minor"/>
                      </wps:style>
                      <wps:bodyPr/>
                    </wps:wsp>
                  </a:graphicData>
                </a:graphic>
              </wp:anchor>
            </w:drawing>
          </mc:Choice>
          <mc:Fallback>
            <w:pict>
              <v:rect id="shape_0" ID="Прямоугольник 39" path="m0,0l-2147483645,0l-2147483645,-2147483646l0,-2147483646xe" fillcolor="white" stroked="t" o:allowincell="f" style="position:absolute;margin-left:223.65pt;margin-top:-47.1pt;width:53.5pt;height:19.55pt;mso-wrap-style:none;v-text-anchor:middle">
                <v:fill o:detectmouseclick="t" type="solid" color2="black"/>
                <v:stroke color="white" weight="9360" joinstyle="round" endcap="flat"/>
                <w10:wrap type="none"/>
              </v:rect>
            </w:pict>
          </mc:Fallback>
        </mc:AlternateContent>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Heading1"/>
        <w:numPr>
          <w:ilvl w:val="0"/>
          <w:numId w:val="1"/>
        </w:numPr>
        <w:spacing w:before="0" w:after="0"/>
        <w:ind w:firstLine="709"/>
        <w:jc w:val="center"/>
        <w:rPr>
          <w:rFonts w:cs="Times New Roman"/>
          <w:color w:val="000000"/>
        </w:rPr>
      </w:pPr>
      <w:bookmarkStart w:id="32" w:name="__RefHeading___Toc229529026"/>
      <w:bookmarkEnd w:id="32"/>
      <w:r>
        <w:rPr>
          <w:rFonts w:cs="Times New Roman"/>
          <w:color w:val="000000"/>
        </w:rPr>
        <w:t>ПРИЛОЖЕНИЯ</w:t>
      </w:r>
      <w:r>
        <w:br w:type="page"/>
      </w:r>
    </w:p>
    <w:p>
      <w:pPr>
        <w:pStyle w:val="Normal"/>
        <w:spacing w:before="0" w:after="0"/>
        <w:jc w:val="center"/>
        <w:rPr>
          <w:rFonts w:ascii="Times New Roman CYR" w:hAnsi="Times New Roman CYR" w:cs="Times New Roman CYR"/>
          <w:color w:val="000000"/>
          <w:sz w:val="28"/>
          <w:szCs w:val="28"/>
        </w:rPr>
      </w:pPr>
      <w:r>
        <w:rPr>
          <w:rFonts w:cs="Times New Roman CYR" w:ascii="Times New Roman CYR" w:hAnsi="Times New Roman CYR"/>
          <w:color w:val="000000"/>
          <w:sz w:val="28"/>
          <w:szCs w:val="28"/>
        </w:rPr>
      </w:r>
    </w:p>
    <w:p>
      <w:pPr>
        <w:pStyle w:val="Normal"/>
        <w:jc w:val="center"/>
        <w:rPr>
          <w:rFonts w:ascii="Times New Roman" w:hAnsi="Times New Roman"/>
          <w:b/>
          <w:sz w:val="28"/>
          <w:szCs w:val="28"/>
        </w:rPr>
      </w:pPr>
      <w:r>
        <w:rPr>
          <w:rFonts w:ascii="Times New Roman" w:hAnsi="Times New Roman"/>
          <w:b/>
          <w:sz w:val="28"/>
          <w:szCs w:val="28"/>
        </w:rPr>
      </w:r>
    </w:p>
    <w:p>
      <w:pPr>
        <w:pStyle w:val="Normal"/>
        <w:widowControl w:val="false"/>
        <w:spacing w:lineRule="auto" w:line="264"/>
        <w:jc w:val="center"/>
        <w:rPr>
          <w:rFonts w:ascii="Times New Roman" w:hAnsi="Times New Roman" w:eastAsia="Arial Unicode MS" w:cs="Arial Unicode MS"/>
          <w:color w:val="000000"/>
          <w:sz w:val="28"/>
          <w:szCs w:val="28"/>
          <w:lang w:eastAsia="ru-RU"/>
        </w:rPr>
      </w:pPr>
      <w:r>
        <mc:AlternateContent>
          <mc:Choice Requires="wps">
            <w:drawing>
              <wp:anchor behindDoc="0" distT="5080" distB="5080" distL="5080" distR="5080" simplePos="0" locked="0" layoutInCell="1" allowOverlap="1" relativeHeight="84">
                <wp:simplePos x="0" y="0"/>
                <wp:positionH relativeFrom="column">
                  <wp:posOffset>2739390</wp:posOffset>
                </wp:positionH>
                <wp:positionV relativeFrom="paragraph">
                  <wp:posOffset>-750570</wp:posOffset>
                </wp:positionV>
                <wp:extent cx="970915" cy="400050"/>
                <wp:effectExtent l="5080" t="5080" r="5080" b="5080"/>
                <wp:wrapNone/>
                <wp:docPr id="5" name="Прямоугольник 38"/>
                <a:graphic xmlns:a="http://schemas.openxmlformats.org/drawingml/2006/main">
                  <a:graphicData uri="http://schemas.microsoft.com/office/word/2010/wordprocessingShape">
                    <wps:wsp>
                      <wps:cNvSpPr/>
                      <wps:spPr>
                        <a:xfrm>
                          <a:off x="0" y="0"/>
                          <a:ext cx="970920" cy="399960"/>
                        </a:xfrm>
                        <a:prstGeom prst="rect">
                          <a:avLst/>
                        </a:prstGeom>
                        <a:solidFill>
                          <a:srgbClr val="ffffff"/>
                        </a:solidFill>
                        <a:ln w="9360">
                          <a:solidFill>
                            <a:srgbClr val="ffffff"/>
                          </a:solidFill>
                          <a:round/>
                        </a:ln>
                      </wps:spPr>
                      <wps:style>
                        <a:lnRef idx="0"/>
                        <a:fillRef idx="0"/>
                        <a:effectRef idx="0"/>
                        <a:fontRef idx="minor"/>
                      </wps:style>
                      <wps:bodyPr/>
                    </wps:wsp>
                  </a:graphicData>
                </a:graphic>
              </wp:anchor>
            </w:drawing>
          </mc:Choice>
          <mc:Fallback>
            <w:pict>
              <v:rect id="shape_0" ID="Прямоугольник 38" path="m0,0l-2147483645,0l-2147483645,-2147483646l0,-2147483646xe" fillcolor="white" stroked="t" o:allowincell="f" style="position:absolute;margin-left:215.7pt;margin-top:-59.1pt;width:76.4pt;height:31.45pt;mso-wrap-style:none;v-text-anchor:middle">
                <v:fill o:detectmouseclick="t" type="solid" color2="black"/>
                <v:stroke color="white" weight="9360" joinstyle="round" endcap="flat"/>
                <w10:wrap type="none"/>
              </v:rect>
            </w:pict>
          </mc:Fallback>
        </mc:AlternateContent>
      </w:r>
      <w:r>
        <w:rPr>
          <w:rFonts w:eastAsia="Arial Unicode MS" w:cs="Arial Unicode MS" w:ascii="Times New Roman" w:hAnsi="Times New Roman"/>
          <w:color w:val="000000"/>
          <w:sz w:val="28"/>
          <w:szCs w:val="28"/>
          <w:lang w:eastAsia="ru-RU"/>
        </w:rPr>
        <w:t>ФЕДЕРАЛЬНОЕ ГОСУДАРСТВЕННОЕ БЮДЖЕТНОЕ ОБРАЗОВАТЕЛЬНОЕ УЧРЕЖДЕНИЕ ВЫСШЕГО ОБРАЗОВАНИЯ</w:t>
      </w:r>
    </w:p>
    <w:p>
      <w:pPr>
        <w:pStyle w:val="Normal"/>
        <w:widowControl w:val="false"/>
        <w:tabs>
          <w:tab w:val="clear" w:pos="708"/>
          <w:tab w:val="left" w:pos="2425" w:leader="none"/>
        </w:tabs>
        <w:spacing w:lineRule="auto" w:line="24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 xml:space="preserve">«ОРЛОВСКИЙ ГОСУДАРСТВЕННЫЙ УНИВЕРСИТЕТ </w:t>
        <w:br/>
        <w:t>имени И.С. ТУРГЕНЕВА»</w:t>
      </w:r>
    </w:p>
    <w:p>
      <w:pPr>
        <w:pStyle w:val="Normal"/>
        <w:widowControl w:val="false"/>
        <w:tabs>
          <w:tab w:val="clear" w:pos="708"/>
          <w:tab w:val="left" w:pos="2425" w:leader="none"/>
        </w:tabs>
        <w:spacing w:lineRule="auto" w:line="24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r>
    </w:p>
    <w:p>
      <w:pPr>
        <w:pStyle w:val="Normal"/>
        <w:widowControl w:val="false"/>
        <w:tabs>
          <w:tab w:val="clear" w:pos="708"/>
          <w:tab w:val="left" w:pos="2425" w:leader="none"/>
        </w:tabs>
        <w:spacing w:lineRule="auto" w:line="24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Институт приборостроения, автоматизации и информационных технологий</w:t>
      </w:r>
    </w:p>
    <w:p>
      <w:pPr>
        <w:pStyle w:val="Normal"/>
        <w:jc w:val="center"/>
        <w:rPr>
          <w:rFonts w:ascii="Times New Roman" w:hAnsi="Times New Roman" w:eastAsia="Arial Unicode MS"/>
          <w:b/>
          <w:color w:val="000000"/>
          <w:sz w:val="28"/>
          <w:szCs w:val="28"/>
          <w:lang w:eastAsia="ru-RU"/>
        </w:rPr>
      </w:pPr>
      <w:r>
        <w:rPr>
          <w:rFonts w:eastAsia="Arial Unicode MS" w:ascii="Times New Roman" w:hAnsi="Times New Roman"/>
          <w:b/>
          <w:color w:val="000000"/>
          <w:sz w:val="28"/>
          <w:szCs w:val="28"/>
          <w:lang w:eastAsia="ru-RU"/>
        </w:rPr>
      </w:r>
    </w:p>
    <w:p>
      <w:pPr>
        <w:pStyle w:val="Normal"/>
        <w:jc w:val="center"/>
        <w:rPr>
          <w:rFonts w:ascii="Times New Roman" w:hAnsi="Times New Roman"/>
          <w:b/>
          <w:caps/>
          <w:sz w:val="28"/>
          <w:szCs w:val="28"/>
        </w:rPr>
      </w:pPr>
      <w:r>
        <w:rPr>
          <w:rFonts w:ascii="Times New Roman" w:hAnsi="Times New Roman"/>
          <w:b/>
          <w:caps/>
          <w:sz w:val="28"/>
          <w:szCs w:val="28"/>
        </w:rPr>
      </w:r>
    </w:p>
    <w:p>
      <w:pPr>
        <w:pStyle w:val="Normal"/>
        <w:jc w:val="center"/>
        <w:rPr>
          <w:rFonts w:ascii="Times New Roman" w:hAnsi="Times New Roman"/>
          <w:b/>
          <w:caps/>
          <w:sz w:val="28"/>
          <w:szCs w:val="28"/>
        </w:rPr>
      </w:pPr>
      <w:r>
        <w:rPr>
          <w:rFonts w:ascii="Times New Roman" w:hAnsi="Times New Roman"/>
          <w:b/>
          <w:caps/>
          <w:sz w:val="28"/>
          <w:szCs w:val="28"/>
        </w:rPr>
      </w:r>
    </w:p>
    <w:p>
      <w:pPr>
        <w:pStyle w:val="Normal"/>
        <w:jc w:val="center"/>
        <w:rPr>
          <w:rFonts w:ascii="Times New Roman" w:hAnsi="Times New Roman"/>
          <w:b/>
          <w:caps/>
          <w:sz w:val="28"/>
          <w:szCs w:val="28"/>
        </w:rPr>
      </w:pPr>
      <w:r>
        <w:rPr>
          <w:rFonts w:ascii="Times New Roman" w:hAnsi="Times New Roman"/>
          <w:b/>
          <w:caps/>
          <w:sz w:val="28"/>
          <w:szCs w:val="28"/>
        </w:rPr>
        <w:t>Дневник</w:t>
      </w:r>
    </w:p>
    <w:p>
      <w:pPr>
        <w:pStyle w:val="Normal"/>
        <w:spacing w:lineRule="auto" w:line="240"/>
        <w:jc w:val="center"/>
        <w:rPr>
          <w:rFonts w:ascii="Times New Roman" w:hAnsi="Times New Roman"/>
          <w:sz w:val="28"/>
          <w:szCs w:val="28"/>
        </w:rPr>
      </w:pPr>
      <w:r>
        <w:rPr>
          <w:rFonts w:ascii="Times New Roman" w:hAnsi="Times New Roman"/>
          <w:sz w:val="28"/>
          <w:szCs w:val="28"/>
        </w:rPr>
        <w:t>преддипломной практики студента</w:t>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jc w:val="center"/>
        <w:rPr>
          <w:rFonts w:ascii="Times New Roman" w:hAnsi="Times New Roman"/>
          <w:sz w:val="28"/>
          <w:szCs w:val="28"/>
        </w:rPr>
      </w:pPr>
      <w:r>
        <w:rPr>
          <w:rFonts w:ascii="Times New Roman" w:hAnsi="Times New Roman"/>
          <w:sz w:val="28"/>
          <w:szCs w:val="28"/>
        </w:rPr>
      </w:r>
    </w:p>
    <w:p>
      <w:pPr>
        <w:pStyle w:val="Normal"/>
        <w:ind w:hanging="0"/>
        <w:rPr>
          <w:rFonts w:ascii="Times New Roman" w:hAnsi="Times New Roman"/>
          <w:sz w:val="28"/>
          <w:szCs w:val="28"/>
        </w:rPr>
      </w:pPr>
      <w:r>
        <w:rPr>
          <w:rFonts w:ascii="Times New Roman" w:hAnsi="Times New Roman"/>
          <w:sz w:val="28"/>
          <w:szCs w:val="28"/>
        </w:rPr>
        <w:t>Остапова Владислава Руслановича</w:t>
      </w:r>
    </w:p>
    <w:p>
      <w:pPr>
        <w:pStyle w:val="Normal"/>
        <w:ind w:hanging="0"/>
        <w:rPr>
          <w:rFonts w:ascii="Times New Roman" w:hAnsi="Times New Roman"/>
          <w:sz w:val="28"/>
          <w:szCs w:val="28"/>
        </w:rPr>
      </w:pPr>
      <w:r>
        <w:rPr>
          <w:rFonts w:ascii="Times New Roman" w:hAnsi="Times New Roman"/>
          <w:sz w:val="28"/>
          <w:szCs w:val="28"/>
        </w:rPr>
        <w:t>Курс 2</w:t>
      </w:r>
    </w:p>
    <w:p>
      <w:pPr>
        <w:pStyle w:val="Normal"/>
        <w:ind w:hanging="0"/>
        <w:rPr>
          <w:rFonts w:ascii="Times New Roman" w:hAnsi="Times New Roman"/>
          <w:sz w:val="28"/>
          <w:szCs w:val="28"/>
        </w:rPr>
      </w:pPr>
      <w:r>
        <w:rPr>
          <w:rFonts w:ascii="Times New Roman" w:hAnsi="Times New Roman"/>
          <w:sz w:val="28"/>
          <w:szCs w:val="28"/>
        </w:rPr>
        <w:t>Группа 41КЭ-М</w:t>
      </w:r>
    </w:p>
    <w:p>
      <w:pPr>
        <w:pStyle w:val="Normal"/>
        <w:ind w:hanging="0"/>
        <w:rPr/>
      </w:pPr>
      <w:r>
        <w:rPr>
          <w:rFonts w:ascii="Times New Roman" w:hAnsi="Times New Roman"/>
          <w:sz w:val="28"/>
          <w:szCs w:val="28"/>
        </w:rPr>
        <w:t xml:space="preserve">Место прохождения практики  </w:t>
      </w:r>
      <w:r>
        <w:rPr>
          <w:rFonts w:ascii="Times New Roman" w:hAnsi="Times New Roman"/>
          <w:color w:val="000000"/>
          <w:sz w:val="28"/>
          <w:szCs w:val="28"/>
          <w:lang w:eastAsia="ru-RU"/>
        </w:rPr>
        <w:t xml:space="preserve"> Молодежное студенческое конструкторское бюро «Электронные технологии» ФГБОУ ВО «Орловский государственный университет имени И.С.Тургенева»</w:t>
      </w:r>
    </w:p>
    <w:p>
      <w:pPr>
        <w:pStyle w:val="Normal"/>
        <w:ind w:hanging="0"/>
        <w:rPr>
          <w:rFonts w:ascii="Times New Roman" w:hAnsi="Times New Roman"/>
          <w:color w:val="000000"/>
          <w:sz w:val="28"/>
          <w:szCs w:val="28"/>
          <w:lang w:eastAsia="ru-RU"/>
        </w:rPr>
      </w:pPr>
      <w:r>
        <w:rPr>
          <w:rFonts w:ascii="Times New Roman" w:hAnsi="Times New Roman"/>
          <w:color w:val="000000"/>
          <w:sz w:val="28"/>
          <w:szCs w:val="28"/>
          <w:lang w:eastAsia="ru-RU"/>
        </w:rPr>
      </w:r>
    </w:p>
    <w:p>
      <w:pPr>
        <w:pStyle w:val="ListParagraph1"/>
        <w:tabs>
          <w:tab w:val="clear" w:pos="708"/>
          <w:tab w:val="left" w:pos="8910" w:leader="none"/>
        </w:tabs>
        <w:spacing w:lineRule="auto" w:line="240" w:before="0" w:after="0"/>
        <w:ind w:hanging="0" w:start="0"/>
        <w:jc w:val="both"/>
        <w:rPr/>
      </w:pPr>
      <w:r>
        <w:rPr>
          <w:rFonts w:ascii="Times New Roman" w:hAnsi="Times New Roman"/>
          <w:sz w:val="28"/>
          <w:szCs w:val="28"/>
        </w:rPr>
        <w:t>Руководитель практики                                                                  Донцов В.М.</w:t>
      </w:r>
    </w:p>
    <w:p>
      <w:pPr>
        <w:pStyle w:val="ListParagraph1"/>
        <w:tabs>
          <w:tab w:val="clear" w:pos="708"/>
          <w:tab w:val="left" w:pos="8910" w:leader="none"/>
        </w:tabs>
        <w:spacing w:lineRule="auto" w:line="240" w:before="0" w:after="0"/>
        <w:ind w:hanging="0" w:start="0"/>
        <w:jc w:val="both"/>
        <w:rPr>
          <w:rFonts w:ascii="Times New Roman" w:hAnsi="Times New Roman"/>
          <w:sz w:val="28"/>
          <w:szCs w:val="28"/>
        </w:rPr>
      </w:pPr>
      <w:r>
        <w:rPr>
          <w:rFonts w:ascii="Times New Roman" w:hAnsi="Times New Roman"/>
          <w:sz w:val="28"/>
          <w:szCs w:val="28"/>
        </w:rPr>
        <w:t xml:space="preserve">от университета   </w:t>
      </w:r>
    </w:p>
    <w:p>
      <w:pPr>
        <w:pStyle w:val="Normal"/>
        <w:rPr>
          <w:rFonts w:ascii="Times New Roman" w:hAnsi="Times New Roman"/>
          <w:sz w:val="28"/>
          <w:szCs w:val="28"/>
        </w:rPr>
      </w:pPr>
      <w:r>
        <w:rPr>
          <w:rFonts w:ascii="Times New Roman" w:hAnsi="Times New Roman"/>
          <w:sz w:val="28"/>
          <w:szCs w:val="28"/>
        </w:rPr>
      </w:r>
    </w:p>
    <w:p>
      <w:pPr>
        <w:pStyle w:val="Normal"/>
        <w:spacing w:lineRule="auto" w:line="240"/>
        <w:ind w:hanging="0"/>
        <w:rPr/>
      </w:pPr>
      <w:r>
        <w:rPr>
          <w:rFonts w:eastAsia="Calibri" w:ascii="Times New Roman" w:hAnsi="Times New Roman"/>
          <w:sz w:val="28"/>
          <w:szCs w:val="28"/>
        </w:rPr>
        <w:t>Руководитель практики                                                             Донцов</w:t>
      </w:r>
      <w:r>
        <w:rPr>
          <w:rFonts w:ascii="Times New Roman" w:hAnsi="Times New Roman"/>
          <w:sz w:val="28"/>
          <w:szCs w:val="28"/>
        </w:rPr>
        <w:t xml:space="preserve"> В.М.</w:t>
      </w:r>
    </w:p>
    <w:p>
      <w:pPr>
        <w:pStyle w:val="Normal"/>
        <w:spacing w:lineRule="auto" w:line="240"/>
        <w:ind w:hanging="0"/>
        <w:rPr>
          <w:rFonts w:ascii="Times New Roman" w:hAnsi="Times New Roman" w:eastAsia="Calibri"/>
          <w:sz w:val="28"/>
          <w:szCs w:val="28"/>
        </w:rPr>
      </w:pPr>
      <w:r>
        <w:rPr>
          <w:rFonts w:eastAsia="Calibri" w:ascii="Times New Roman" w:hAnsi="Times New Roman"/>
          <w:sz w:val="28"/>
          <w:szCs w:val="28"/>
        </w:rPr>
        <w:t>от профильной организации</w:t>
      </w:r>
    </w:p>
    <w:p>
      <w:pPr>
        <w:pStyle w:val="Normal"/>
        <w:spacing w:lineRule="auto" w:line="240"/>
        <w:ind w:hanging="0"/>
        <w:rPr>
          <w:rFonts w:ascii="Times New Roman" w:hAnsi="Times New Roman" w:eastAsia="Calibri"/>
          <w:sz w:val="28"/>
          <w:szCs w:val="28"/>
        </w:rPr>
      </w:pPr>
      <w:r>
        <w:rPr>
          <w:rFonts w:eastAsia="Calibri" w:ascii="Times New Roman" w:hAnsi="Times New Roman"/>
          <w:sz w:val="28"/>
          <w:szCs w:val="28"/>
        </w:rPr>
      </w:r>
    </w:p>
    <w:p>
      <w:pPr>
        <w:pStyle w:val="Normal"/>
        <w:jc w:val="center"/>
        <w:rPr>
          <w:rFonts w:ascii="Times New Roman" w:hAnsi="Times New Roman"/>
          <w:sz w:val="28"/>
          <w:szCs w:val="28"/>
        </w:rPr>
      </w:pPr>
      <w:r>
        <w:rPr>
          <w:rFonts w:ascii="Times New Roman" w:hAnsi="Times New Roman"/>
          <w:sz w:val="28"/>
          <w:szCs w:val="28"/>
        </w:rPr>
        <w:t>Начало практики</w:t>
      </w:r>
    </w:p>
    <w:p>
      <w:pPr>
        <w:pStyle w:val="Normal"/>
        <w:jc w:val="center"/>
        <w:rPr/>
      </w:pPr>
      <w:r>
        <w:rPr>
          <w:rFonts w:ascii="Times New Roman" w:hAnsi="Times New Roman"/>
          <w:sz w:val="28"/>
          <w:szCs w:val="28"/>
        </w:rPr>
        <w:t>«08» апреля 2026 года</w:t>
      </w:r>
    </w:p>
    <w:p>
      <w:pPr>
        <w:pStyle w:val="Normal"/>
        <w:jc w:val="center"/>
        <w:rPr>
          <w:rFonts w:ascii="Times New Roman" w:hAnsi="Times New Roman"/>
          <w:sz w:val="28"/>
          <w:szCs w:val="28"/>
        </w:rPr>
      </w:pPr>
      <w:r>
        <w:rPr>
          <w:rFonts w:ascii="Times New Roman" w:hAnsi="Times New Roman"/>
          <w:sz w:val="28"/>
          <w:szCs w:val="28"/>
        </w:rPr>
        <w:t>Окончание практики</w:t>
      </w:r>
    </w:p>
    <w:p>
      <w:pPr>
        <w:pStyle w:val="Normal"/>
        <w:jc w:val="center"/>
        <w:rPr/>
      </w:pPr>
      <w:r>
        <w:rPr>
          <w:rFonts w:ascii="Times New Roman" w:hAnsi="Times New Roman"/>
          <w:sz w:val="28"/>
          <w:szCs w:val="28"/>
        </w:rPr>
        <w:t>«21» мая 2026 года</w:t>
      </w:r>
      <w:r>
        <w:br w:type="page"/>
      </w:r>
    </w:p>
    <w:p>
      <w:pPr>
        <w:pStyle w:val="Normal"/>
        <w:spacing w:before="0" w:after="0"/>
        <w:ind w:hanging="0"/>
        <w:jc w:val="center"/>
        <w:rPr/>
      </w:pPr>
      <w:r>
        <w:rPr/>
      </w:r>
    </w:p>
    <w:p>
      <w:pPr>
        <w:pStyle w:val="Normal"/>
        <w:spacing w:lineRule="auto" w:line="240"/>
        <w:jc w:val="center"/>
        <w:rPr>
          <w:rFonts w:ascii="Times New Roman" w:hAnsi="Times New Roman"/>
          <w:sz w:val="24"/>
          <w:szCs w:val="24"/>
        </w:rPr>
      </w:pPr>
      <w:r>
        <w:rPr>
          <w:rFonts w:ascii="Times New Roman" w:hAnsi="Times New Roman"/>
          <w:sz w:val="24"/>
          <w:szCs w:val="24"/>
        </w:rPr>
        <w:t xml:space="preserve">Таблица – Учет мероприятий производственной практики </w:t>
      </w:r>
    </w:p>
    <w:p>
      <w:pPr>
        <w:pStyle w:val="Normal"/>
        <w:spacing w:lineRule="auto" w:line="240"/>
        <w:jc w:val="center"/>
        <w:rPr/>
      </w:pPr>
      <w:r>
        <mc:AlternateContent>
          <mc:Choice Requires="wps">
            <w:drawing>
              <wp:anchor behindDoc="0" distT="5080" distB="5080" distL="5080" distR="5080" simplePos="0" locked="0" layoutInCell="1" allowOverlap="1" relativeHeight="85">
                <wp:simplePos x="0" y="0"/>
                <wp:positionH relativeFrom="column">
                  <wp:posOffset>2653665</wp:posOffset>
                </wp:positionH>
                <wp:positionV relativeFrom="paragraph">
                  <wp:posOffset>-632460</wp:posOffset>
                </wp:positionV>
                <wp:extent cx="970915" cy="400050"/>
                <wp:effectExtent l="5080" t="5080" r="5080" b="5080"/>
                <wp:wrapNone/>
                <wp:docPr id="6" name="Прямоугольник 37"/>
                <a:graphic xmlns:a="http://schemas.openxmlformats.org/drawingml/2006/main">
                  <a:graphicData uri="http://schemas.microsoft.com/office/word/2010/wordprocessingShape">
                    <wps:wsp>
                      <wps:cNvSpPr/>
                      <wps:spPr>
                        <a:xfrm>
                          <a:off x="0" y="0"/>
                          <a:ext cx="970920" cy="399960"/>
                        </a:xfrm>
                        <a:prstGeom prst="rect">
                          <a:avLst/>
                        </a:prstGeom>
                        <a:solidFill>
                          <a:srgbClr val="ffffff"/>
                        </a:solidFill>
                        <a:ln w="9360">
                          <a:solidFill>
                            <a:srgbClr val="ffffff"/>
                          </a:solidFill>
                          <a:round/>
                        </a:ln>
                      </wps:spPr>
                      <wps:style>
                        <a:lnRef idx="0"/>
                        <a:fillRef idx="0"/>
                        <a:effectRef idx="0"/>
                        <a:fontRef idx="minor"/>
                      </wps:style>
                      <wps:bodyPr/>
                    </wps:wsp>
                  </a:graphicData>
                </a:graphic>
              </wp:anchor>
            </w:drawing>
          </mc:Choice>
          <mc:Fallback>
            <w:pict>
              <v:rect id="shape_0" ID="Прямоугольник 37" path="m0,0l-2147483645,0l-2147483645,-2147483646l0,-2147483646xe" fillcolor="white" stroked="t" o:allowincell="f" style="position:absolute;margin-left:208.95pt;margin-top:-49.8pt;width:76.4pt;height:31.45pt;mso-wrap-style:none;v-text-anchor:middle">
                <v:fill o:detectmouseclick="t" type="solid" color2="black"/>
                <v:stroke color="white" weight="9360" joinstyle="round" endcap="flat"/>
                <w10:wrap type="none"/>
              </v:rect>
            </w:pict>
          </mc:Fallback>
        </mc:AlternateContent>
        <mc:AlternateContent>
          <mc:Choice Requires="wps">
            <w:drawing>
              <wp:anchor behindDoc="0" distT="5080" distB="5080" distL="5080" distR="5080" simplePos="0" locked="0" layoutInCell="1" allowOverlap="1" relativeHeight="86">
                <wp:simplePos x="0" y="0"/>
                <wp:positionH relativeFrom="column">
                  <wp:posOffset>3310890</wp:posOffset>
                </wp:positionH>
                <wp:positionV relativeFrom="paragraph">
                  <wp:posOffset>-706755</wp:posOffset>
                </wp:positionV>
                <wp:extent cx="970915" cy="400050"/>
                <wp:effectExtent l="5080" t="5080" r="5080" b="5080"/>
                <wp:wrapNone/>
                <wp:docPr id="7" name="Прямоугольник 36"/>
                <a:graphic xmlns:a="http://schemas.openxmlformats.org/drawingml/2006/main">
                  <a:graphicData uri="http://schemas.microsoft.com/office/word/2010/wordprocessingShape">
                    <wps:wsp>
                      <wps:cNvSpPr/>
                      <wps:spPr>
                        <a:xfrm>
                          <a:off x="0" y="0"/>
                          <a:ext cx="970920" cy="399960"/>
                        </a:xfrm>
                        <a:prstGeom prst="rect">
                          <a:avLst/>
                        </a:prstGeom>
                        <a:solidFill>
                          <a:srgbClr val="ffffff"/>
                        </a:solidFill>
                        <a:ln w="9360">
                          <a:solidFill>
                            <a:srgbClr val="ffffff"/>
                          </a:solidFill>
                          <a:round/>
                        </a:ln>
                      </wps:spPr>
                      <wps:style>
                        <a:lnRef idx="0"/>
                        <a:fillRef idx="0"/>
                        <a:effectRef idx="0"/>
                        <a:fontRef idx="minor"/>
                      </wps:style>
                      <wps:bodyPr/>
                    </wps:wsp>
                  </a:graphicData>
                </a:graphic>
              </wp:anchor>
            </w:drawing>
          </mc:Choice>
          <mc:Fallback>
            <w:pict>
              <v:rect id="shape_0" ID="Прямоугольник 36" path="m0,0l-2147483645,0l-2147483645,-2147483646l0,-2147483646xe" fillcolor="white" stroked="t" o:allowincell="f" style="position:absolute;margin-left:260.7pt;margin-top:-55.65pt;width:76.4pt;height:31.45pt;mso-wrap-style:none;v-text-anchor:middle">
                <v:fill o:detectmouseclick="t" type="solid" color2="black"/>
                <v:stroke color="white" weight="9360" joinstyle="round" endcap="flat"/>
                <w10:wrap type="none"/>
              </v:rect>
            </w:pict>
          </mc:Fallback>
        </mc:AlternateContent>
      </w:r>
      <w:r>
        <w:rPr>
          <w:rFonts w:ascii="Times New Roman" w:hAnsi="Times New Roman"/>
          <w:sz w:val="24"/>
          <w:szCs w:val="24"/>
        </w:rPr>
        <w:t xml:space="preserve">(преддипломной практики) </w:t>
      </w:r>
    </w:p>
    <w:p>
      <w:pPr>
        <w:pStyle w:val="Normal"/>
        <w:spacing w:lineRule="auto" w:line="240"/>
        <w:ind w:hanging="0"/>
        <w:jc w:val="center"/>
        <w:rPr>
          <w:rFonts w:ascii="Times New Roman" w:hAnsi="Times New Roman"/>
          <w:sz w:val="24"/>
          <w:szCs w:val="24"/>
        </w:rPr>
      </w:pPr>
      <w:r>
        <w:rPr>
          <w:rFonts w:ascii="Times New Roman" w:hAnsi="Times New Roman"/>
          <w:sz w:val="24"/>
          <w:szCs w:val="24"/>
        </w:rPr>
      </w:r>
    </w:p>
    <w:tbl>
      <w:tblPr>
        <w:tblW w:w="9558" w:type="dxa"/>
        <w:jc w:val="center"/>
        <w:tblInd w:w="0" w:type="dxa"/>
        <w:tblLayout w:type="fixed"/>
        <w:tblCellMar>
          <w:top w:w="0" w:type="dxa"/>
          <w:start w:w="108" w:type="dxa"/>
          <w:bottom w:w="0" w:type="dxa"/>
          <w:end w:w="108" w:type="dxa"/>
        </w:tblCellMar>
        <w:tblLook w:val="0000" w:noHBand="0" w:noVBand="0" w:firstColumn="0" w:lastRow="0" w:lastColumn="0" w:firstRow="0"/>
      </w:tblPr>
      <w:tblGrid>
        <w:gridCol w:w="670"/>
        <w:gridCol w:w="4065"/>
        <w:gridCol w:w="1137"/>
        <w:gridCol w:w="2064"/>
        <w:gridCol w:w="1622"/>
      </w:tblGrid>
      <w:tr>
        <w:trPr/>
        <w:tc>
          <w:tcPr>
            <w:tcW w:w="670"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ind w:hanging="0"/>
              <w:jc w:val="center"/>
              <w:rPr>
                <w:rFonts w:ascii="Times New Roman" w:hAnsi="Times New Roman"/>
                <w:sz w:val="24"/>
                <w:szCs w:val="24"/>
              </w:rPr>
            </w:pPr>
            <w:r>
              <w:rPr>
                <w:rFonts w:ascii="Times New Roman" w:hAnsi="Times New Roman"/>
                <w:sz w:val="24"/>
                <w:szCs w:val="24"/>
              </w:rPr>
              <w:t>№</w:t>
            </w:r>
          </w:p>
          <w:p>
            <w:pPr>
              <w:pStyle w:val="Normal"/>
              <w:spacing w:lineRule="auto" w:line="240"/>
              <w:ind w:hanging="0"/>
              <w:jc w:val="center"/>
              <w:rPr>
                <w:rFonts w:ascii="Times New Roman" w:hAnsi="Times New Roman"/>
                <w:sz w:val="24"/>
                <w:szCs w:val="24"/>
              </w:rPr>
            </w:pPr>
            <w:r>
              <w:rPr>
                <w:rFonts w:ascii="Times New Roman" w:hAnsi="Times New Roman"/>
                <w:sz w:val="24"/>
                <w:szCs w:val="24"/>
              </w:rPr>
              <w:t>п / п</w:t>
            </w:r>
          </w:p>
        </w:tc>
        <w:tc>
          <w:tcPr>
            <w:tcW w:w="40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4"/>
                <w:szCs w:val="24"/>
              </w:rPr>
            </w:pPr>
            <w:r>
              <w:rPr>
                <w:rFonts w:ascii="Times New Roman" w:hAnsi="Times New Roman"/>
                <w:sz w:val="24"/>
                <w:szCs w:val="24"/>
              </w:rPr>
              <w:t>Содержание мероприятий и их вид</w:t>
            </w:r>
          </w:p>
        </w:tc>
        <w:tc>
          <w:tcPr>
            <w:tcW w:w="11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start="-66" w:end="-8"/>
              <w:jc w:val="center"/>
              <w:rPr>
                <w:rFonts w:ascii="Times New Roman" w:hAnsi="Times New Roman"/>
                <w:sz w:val="24"/>
                <w:szCs w:val="24"/>
              </w:rPr>
            </w:pPr>
            <w:r>
              <w:rPr>
                <w:rFonts w:ascii="Times New Roman" w:hAnsi="Times New Roman"/>
                <w:sz w:val="24"/>
                <w:szCs w:val="24"/>
              </w:rPr>
              <w:t>Дата</w:t>
            </w:r>
          </w:p>
        </w:tc>
        <w:tc>
          <w:tcPr>
            <w:tcW w:w="20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4"/>
                <w:szCs w:val="24"/>
              </w:rPr>
            </w:pPr>
            <w:r>
              <w:rPr>
                <w:rFonts w:ascii="Times New Roman" w:hAnsi="Times New Roman"/>
                <w:sz w:val="24"/>
                <w:szCs w:val="24"/>
              </w:rPr>
              <w:t>Ф.И.О., должность консультанта, лектора</w:t>
            </w:r>
          </w:p>
        </w:tc>
        <w:tc>
          <w:tcPr>
            <w:tcW w:w="162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4"/>
                <w:szCs w:val="24"/>
              </w:rPr>
            </w:pPr>
            <w:r>
              <w:rPr>
                <w:rFonts w:ascii="Times New Roman" w:hAnsi="Times New Roman"/>
                <w:sz w:val="24"/>
                <w:szCs w:val="24"/>
              </w:rPr>
              <w:t>Подпись руководителя практики</w:t>
            </w:r>
          </w:p>
        </w:tc>
      </w:tr>
      <w:tr>
        <w:trPr>
          <w:trHeight w:val="2208" w:hRule="atLeast"/>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Организационное собрание для разъяснения целей, задач, содержания и порядка прохождения практики.</w:t>
            </w:r>
          </w:p>
          <w:p>
            <w:pPr>
              <w:pStyle w:val="Normal"/>
              <w:spacing w:lineRule="auto" w:line="240"/>
              <w:ind w:hanging="0"/>
              <w:rPr>
                <w:rFonts w:ascii="Times New Roman" w:hAnsi="Times New Roman"/>
                <w:sz w:val="24"/>
                <w:szCs w:val="24"/>
              </w:rPr>
            </w:pPr>
            <w:r>
              <w:rPr>
                <w:rFonts w:ascii="Times New Roman" w:hAnsi="Times New Roman"/>
                <w:sz w:val="24"/>
                <w:szCs w:val="24"/>
              </w:rPr>
              <w:t>Инструктаж по технике безопасности.</w:t>
            </w:r>
          </w:p>
          <w:p>
            <w:pPr>
              <w:pStyle w:val="Normal"/>
              <w:spacing w:lineRule="auto" w:line="240"/>
              <w:ind w:hanging="0"/>
              <w:rPr>
                <w:rFonts w:ascii="Times New Roman" w:hAnsi="Times New Roman"/>
                <w:sz w:val="24"/>
                <w:szCs w:val="24"/>
              </w:rPr>
            </w:pPr>
            <w:r>
              <w:rPr>
                <w:rFonts w:ascii="Times New Roman" w:hAnsi="Times New Roman"/>
                <w:sz w:val="24"/>
                <w:szCs w:val="24"/>
              </w:rPr>
              <w:t>Выдача индивидуального задания.</w:t>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08 апреля 2026г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31" w:end="-78"/>
              <w:jc w:val="center"/>
              <w:rPr>
                <w:rFonts w:ascii="Times New Roman" w:hAnsi="Times New Roman"/>
                <w:sz w:val="24"/>
                <w:szCs w:val="24"/>
              </w:rPr>
            </w:pPr>
            <w:r>
              <w:rPr>
                <w:rFonts w:ascii="Times New Roman" w:hAnsi="Times New Roman"/>
                <w:sz w:val="24"/>
                <w:szCs w:val="24"/>
              </w:rPr>
              <w:t>Донцов В.М., доцент кафедры ЭРиССС</w:t>
            </w:r>
          </w:p>
          <w:p>
            <w:pPr>
              <w:pStyle w:val="Normal"/>
              <w:spacing w:lineRule="auto" w:line="240"/>
              <w:ind w:hanging="0"/>
              <w:jc w:val="center"/>
              <w:rPr>
                <w:rFonts w:ascii="Times New Roman" w:hAnsi="Times New Roman"/>
                <w:sz w:val="24"/>
                <w:szCs w:val="24"/>
              </w:rPr>
            </w:pPr>
            <w:r>
              <w:rPr>
                <w:rFonts w:ascii="Times New Roman" w:hAnsi="Times New Roman"/>
                <w:sz w:val="24"/>
                <w:szCs w:val="24"/>
              </w:rPr>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Анализ индивидуального задания и сбор информации по разделу:</w:t>
            </w:r>
          </w:p>
          <w:p>
            <w:pPr>
              <w:pStyle w:val="Normal"/>
              <w:spacing w:lineRule="auto" w:line="240"/>
              <w:ind w:hanging="0"/>
              <w:rPr>
                <w:rFonts w:ascii="Times New Roman" w:hAnsi="Times New Roman"/>
                <w:sz w:val="24"/>
                <w:szCs w:val="24"/>
              </w:rPr>
            </w:pPr>
            <w:r>
              <w:rPr>
                <w:rFonts w:ascii="Times New Roman" w:hAnsi="Times New Roman"/>
                <w:sz w:val="24"/>
                <w:szCs w:val="24"/>
              </w:rPr>
              <w:t xml:space="preserve">1. </w:t>
            </w:r>
            <w:r>
              <w:rPr>
                <w:rFonts w:ascii="Times New Roman" w:hAnsi="Times New Roman"/>
                <w:color w:val="000000"/>
                <w:sz w:val="24"/>
                <w:szCs w:val="24"/>
                <w:lang w:eastAsia="ru-RU"/>
              </w:rPr>
              <w:t>Анализ состояния проблемы</w:t>
            </w:r>
          </w:p>
          <w:p>
            <w:pPr>
              <w:pStyle w:val="Normal"/>
              <w:spacing w:lineRule="auto" w:line="240"/>
              <w:ind w:hanging="0"/>
              <w:rPr>
                <w:rFonts w:ascii="Times New Roman" w:hAnsi="Times New Roman"/>
                <w:sz w:val="24"/>
                <w:szCs w:val="24"/>
              </w:rPr>
            </w:pPr>
            <w:r>
              <w:rPr>
                <w:rFonts w:ascii="Times New Roman" w:hAnsi="Times New Roman"/>
                <w:sz w:val="24"/>
                <w:szCs w:val="24"/>
              </w:rPr>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 xml:space="preserve">09 апреля – </w:t>
            </w:r>
            <w:r>
              <w:rPr>
                <w:rFonts w:ascii="Times New Roman" w:hAnsi="Times New Roman"/>
                <w:sz w:val="24"/>
                <w:szCs w:val="24"/>
                <w:lang w:val="en-US"/>
              </w:rPr>
              <w:t>20</w:t>
            </w:r>
            <w:r>
              <w:rPr>
                <w:rFonts w:ascii="Times New Roman" w:hAnsi="Times New Roman"/>
                <w:sz w:val="24"/>
                <w:szCs w:val="24"/>
              </w:rPr>
              <w:t xml:space="preserve"> апреля 2026г.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55" w:end="-96"/>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Сбор информации и материалов практики по разделу:</w:t>
            </w:r>
          </w:p>
          <w:p>
            <w:pPr>
              <w:pStyle w:val="Normal"/>
              <w:spacing w:lineRule="auto" w:line="240"/>
              <w:ind w:hanging="0"/>
              <w:rPr>
                <w:rFonts w:ascii="Times New Roman" w:hAnsi="Times New Roman"/>
                <w:color w:val="000000"/>
                <w:sz w:val="24"/>
                <w:szCs w:val="24"/>
                <w:lang w:eastAsia="ru-RU"/>
              </w:rPr>
            </w:pPr>
            <w:r>
              <w:rPr>
                <w:rFonts w:ascii="Times New Roman" w:hAnsi="Times New Roman"/>
                <w:sz w:val="24"/>
                <w:szCs w:val="24"/>
              </w:rPr>
              <w:t xml:space="preserve">2. </w:t>
            </w:r>
            <w:r>
              <w:rPr>
                <w:rFonts w:ascii="Times New Roman" w:hAnsi="Times New Roman"/>
                <w:color w:val="000000"/>
                <w:sz w:val="24"/>
                <w:szCs w:val="24"/>
                <w:lang w:eastAsia="ru-RU"/>
              </w:rPr>
              <w:t>Предлагаемые способы решения проблемы</w:t>
            </w:r>
          </w:p>
          <w:p>
            <w:pPr>
              <w:pStyle w:val="Normal"/>
              <w:spacing w:lineRule="auto" w:line="240"/>
              <w:ind w:hanging="0"/>
              <w:rPr>
                <w:rFonts w:ascii="Times New Roman" w:hAnsi="Times New Roman"/>
                <w:color w:val="000000"/>
                <w:sz w:val="24"/>
                <w:szCs w:val="24"/>
                <w:lang w:eastAsia="ru-RU"/>
              </w:rPr>
            </w:pPr>
            <w:r>
              <w:rPr>
                <w:rFonts w:ascii="Times New Roman" w:hAnsi="Times New Roman"/>
                <w:color w:val="000000"/>
                <w:sz w:val="24"/>
                <w:szCs w:val="24"/>
                <w:lang w:eastAsia="ru-RU"/>
              </w:rPr>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2</w:t>
            </w:r>
            <w:r>
              <w:rPr>
                <w:rFonts w:ascii="Times New Roman" w:hAnsi="Times New Roman"/>
                <w:sz w:val="24"/>
                <w:szCs w:val="24"/>
                <w:lang w:val="en-US"/>
              </w:rPr>
              <w:t>1</w:t>
            </w:r>
            <w:r>
              <w:rPr>
                <w:rFonts w:ascii="Times New Roman" w:hAnsi="Times New Roman"/>
                <w:sz w:val="24"/>
                <w:szCs w:val="24"/>
              </w:rPr>
              <w:t xml:space="preserve"> апреля – </w:t>
            </w:r>
            <w:r>
              <w:rPr>
                <w:rFonts w:ascii="Times New Roman" w:hAnsi="Times New Roman"/>
                <w:sz w:val="24"/>
                <w:szCs w:val="24"/>
                <w:lang w:val="en-US"/>
              </w:rPr>
              <w:t>06</w:t>
            </w:r>
            <w:r>
              <w:rPr>
                <w:rFonts w:ascii="Times New Roman" w:hAnsi="Times New Roman"/>
                <w:sz w:val="24"/>
                <w:szCs w:val="24"/>
              </w:rPr>
              <w:t xml:space="preserve"> мая 2026г.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55" w:end="-96"/>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Выполнение программы практики, индивидуального задания на практику. Сбор информации по разделу:</w:t>
            </w:r>
          </w:p>
          <w:p>
            <w:pPr>
              <w:pStyle w:val="Normal"/>
              <w:spacing w:lineRule="auto" w:line="240"/>
              <w:ind w:hanging="0"/>
              <w:rPr>
                <w:rFonts w:ascii="Times New Roman" w:hAnsi="Times New Roman"/>
                <w:sz w:val="24"/>
                <w:szCs w:val="24"/>
              </w:rPr>
            </w:pPr>
            <w:r>
              <w:rPr>
                <w:rFonts w:ascii="Times New Roman" w:hAnsi="Times New Roman"/>
                <w:sz w:val="24"/>
                <w:szCs w:val="24"/>
              </w:rPr>
              <w:t xml:space="preserve">3. </w:t>
            </w:r>
            <w:r>
              <w:rPr>
                <w:rFonts w:ascii="Times New Roman" w:hAnsi="Times New Roman"/>
                <w:color w:val="000000"/>
                <w:sz w:val="24"/>
                <w:szCs w:val="24"/>
                <w:lang w:eastAsia="ru-RU"/>
              </w:rPr>
              <w:t>Проверка и подтверждение результатов исследования</w:t>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 xml:space="preserve">07 мая – </w:t>
            </w:r>
            <w:r>
              <w:rPr>
                <w:rFonts w:ascii="Times New Roman" w:hAnsi="Times New Roman"/>
                <w:sz w:val="24"/>
                <w:szCs w:val="24"/>
                <w:lang w:val="en-US"/>
              </w:rPr>
              <w:t>19</w:t>
            </w:r>
            <w:r>
              <w:rPr>
                <w:rFonts w:ascii="Times New Roman" w:hAnsi="Times New Roman"/>
                <w:sz w:val="24"/>
                <w:szCs w:val="24"/>
              </w:rPr>
              <w:t xml:space="preserve"> мая 2026 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55" w:end="-96"/>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pPr>
            <w:r>
              <w:rPr>
                <w:rFonts w:ascii="Times New Roman" w:hAnsi="Times New Roman"/>
                <w:sz w:val="24"/>
                <w:szCs w:val="24"/>
              </w:rPr>
              <w:t xml:space="preserve">Составление </w:t>
            </w:r>
            <w:r>
              <w:rPr>
                <w:rFonts w:ascii="Times New Roman" w:hAnsi="Times New Roman"/>
                <w:color w:val="000000"/>
                <w:sz w:val="24"/>
                <w:szCs w:val="24"/>
              </w:rPr>
              <w:t xml:space="preserve">отчета по </w:t>
            </w:r>
            <w:r>
              <w:rPr>
                <w:rFonts w:ascii="Times New Roman" w:hAnsi="Times New Roman"/>
                <w:sz w:val="24"/>
                <w:szCs w:val="24"/>
              </w:rPr>
              <w:t>практике.</w:t>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2</w:t>
            </w:r>
            <w:r>
              <w:rPr>
                <w:rFonts w:ascii="Times New Roman" w:hAnsi="Times New Roman"/>
                <w:sz w:val="24"/>
                <w:szCs w:val="24"/>
                <w:lang w:val="en-US"/>
              </w:rPr>
              <w:t>0</w:t>
            </w:r>
            <w:r>
              <w:rPr>
                <w:rFonts w:ascii="Times New Roman" w:hAnsi="Times New Roman"/>
                <w:sz w:val="24"/>
                <w:szCs w:val="24"/>
              </w:rPr>
              <w:t xml:space="preserve">  мая -2026 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55" w:end="-96"/>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Защита отчета по практике с представлением материалов.</w:t>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2</w:t>
            </w:r>
            <w:r>
              <w:rPr>
                <w:rFonts w:ascii="Times New Roman" w:hAnsi="Times New Roman"/>
                <w:sz w:val="24"/>
                <w:szCs w:val="24"/>
                <w:lang w:val="en-US"/>
              </w:rPr>
              <w:t>1</w:t>
            </w:r>
            <w:r>
              <w:rPr>
                <w:rFonts w:ascii="Times New Roman" w:hAnsi="Times New Roman"/>
                <w:sz w:val="24"/>
                <w:szCs w:val="24"/>
              </w:rPr>
              <w:t xml:space="preserve"> мая 2026г.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31" w:end="-78"/>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bl>
    <w:p>
      <w:pPr>
        <w:pStyle w:val="Normal"/>
        <w:tabs>
          <w:tab w:val="clear" w:pos="708"/>
          <w:tab w:val="left" w:pos="8910" w:leader="none"/>
        </w:tabs>
        <w:spacing w:lineRule="auto" w:line="240"/>
        <w:rPr>
          <w:rFonts w:ascii="Times New Roman" w:hAnsi="Times New Roman"/>
          <w:sz w:val="23"/>
          <w:szCs w:val="23"/>
        </w:rPr>
      </w:pPr>
      <w:r>
        <w:rPr>
          <w:rFonts w:ascii="Times New Roman" w:hAnsi="Times New Roman"/>
          <w:sz w:val="23"/>
          <w:szCs w:val="23"/>
        </w:rPr>
      </w:r>
    </w:p>
    <w:p>
      <w:pPr>
        <w:pStyle w:val="Normal"/>
        <w:tabs>
          <w:tab w:val="clear" w:pos="708"/>
          <w:tab w:val="left" w:pos="8910" w:leader="none"/>
        </w:tabs>
        <w:spacing w:lineRule="auto" w:line="240"/>
        <w:jc w:val="end"/>
        <w:rPr/>
      </w:pPr>
      <w:r>
        <w:rPr>
          <w:rFonts w:ascii="Times New Roman" w:hAnsi="Times New Roman"/>
          <w:sz w:val="24"/>
          <w:szCs w:val="24"/>
        </w:rPr>
        <w:t>«21» мая 2026г</w:t>
      </w:r>
    </w:p>
    <w:p>
      <w:pPr>
        <w:pStyle w:val="Normal"/>
        <w:tabs>
          <w:tab w:val="clear" w:pos="708"/>
          <w:tab w:val="left" w:pos="8910" w:leader="none"/>
        </w:tabs>
        <w:spacing w:lineRule="auto" w:line="240"/>
        <w:jc w:val="end"/>
        <w:rPr>
          <w:rFonts w:ascii="Times New Roman" w:hAnsi="Times New Roman"/>
          <w:sz w:val="24"/>
          <w:szCs w:val="24"/>
        </w:rPr>
      </w:pPr>
      <w:r>
        <w:rPr>
          <w:rFonts w:ascii="Times New Roman" w:hAnsi="Times New Roman"/>
          <w:sz w:val="24"/>
          <w:szCs w:val="24"/>
        </w:rPr>
      </w:r>
    </w:p>
    <w:p>
      <w:pPr>
        <w:pStyle w:val="Normal"/>
        <w:tabs>
          <w:tab w:val="clear" w:pos="708"/>
          <w:tab w:val="left" w:pos="8910" w:leader="none"/>
        </w:tabs>
        <w:spacing w:lineRule="auto" w:line="240"/>
        <w:jc w:val="end"/>
        <w:rPr/>
      </w:pPr>
      <w:r>
        <w:rPr>
          <w:rFonts w:ascii="Times New Roman" w:hAnsi="Times New Roman"/>
          <w:sz w:val="24"/>
          <w:szCs w:val="24"/>
        </w:rPr>
        <w:t>Обучающийся ________________ Остапов В.Р.</w:t>
      </w:r>
      <w:r>
        <w:br w:type="page"/>
      </w:r>
    </w:p>
    <w:p>
      <w:pPr>
        <w:pStyle w:val="Normal"/>
        <w:tabs>
          <w:tab w:val="clear" w:pos="708"/>
          <w:tab w:val="left" w:pos="8910" w:leader="none"/>
        </w:tabs>
        <w:spacing w:lineRule="auto" w:line="240" w:before="0" w:after="0"/>
        <w:ind w:hanging="0"/>
        <w:jc w:val="end"/>
        <w:rPr/>
      </w:pPr>
      <w:r>
        <w:rPr/>
      </w:r>
    </w:p>
    <w:p>
      <w:pPr>
        <w:pStyle w:val="Normal"/>
        <w:spacing w:lineRule="auto" w:line="240"/>
        <w:jc w:val="center"/>
        <w:rPr>
          <w:rFonts w:ascii="Times New Roman" w:hAnsi="Times New Roman"/>
          <w:sz w:val="4"/>
          <w:szCs w:val="4"/>
          <w:u w:val="single"/>
        </w:rPr>
      </w:pPr>
      <w:r>
        <w:rPr>
          <w:rFonts w:ascii="Times New Roman" w:hAnsi="Times New Roman"/>
          <w:sz w:val="4"/>
          <w:szCs w:val="4"/>
          <w:u w:val="single"/>
        </w:rPr>
      </w:r>
    </w:p>
    <w:p>
      <w:pPr>
        <w:pStyle w:val="Normal"/>
        <w:spacing w:lineRule="auto" w:line="240"/>
        <w:ind w:hanging="0"/>
        <w:jc w:val="center"/>
        <w:rPr>
          <w:rFonts w:ascii="Times New Roman" w:hAnsi="Times New Roman"/>
          <w:caps/>
          <w:sz w:val="28"/>
          <w:szCs w:val="28"/>
        </w:rPr>
      </w:pPr>
      <w:r>
        <mc:AlternateContent>
          <mc:Choice Requires="wps">
            <w:drawing>
              <wp:anchor behindDoc="0" distT="5080" distB="5080" distL="5080" distR="5080" simplePos="0" locked="0" layoutInCell="1" allowOverlap="1" relativeHeight="89">
                <wp:simplePos x="0" y="0"/>
                <wp:positionH relativeFrom="column">
                  <wp:posOffset>2823845</wp:posOffset>
                </wp:positionH>
                <wp:positionV relativeFrom="paragraph">
                  <wp:posOffset>-438785</wp:posOffset>
                </wp:positionV>
                <wp:extent cx="666750" cy="295275"/>
                <wp:effectExtent l="5080" t="5080" r="5080" b="5080"/>
                <wp:wrapNone/>
                <wp:docPr id="8" name="Прямоугольник 35"/>
                <a:graphic xmlns:a="http://schemas.openxmlformats.org/drawingml/2006/main">
                  <a:graphicData uri="http://schemas.microsoft.com/office/word/2010/wordprocessingShape">
                    <wps:wsp>
                      <wps:cNvSpPr/>
                      <wps:spPr>
                        <a:xfrm>
                          <a:off x="0" y="0"/>
                          <a:ext cx="666720" cy="295200"/>
                        </a:xfrm>
                        <a:prstGeom prst="rect">
                          <a:avLst/>
                        </a:prstGeom>
                        <a:solidFill>
                          <a:srgbClr val="ffffff"/>
                        </a:solidFill>
                        <a:ln w="9360">
                          <a:solidFill>
                            <a:srgbClr val="ffffff"/>
                          </a:solidFill>
                          <a:round/>
                        </a:ln>
                      </wps:spPr>
                      <wps:style>
                        <a:lnRef idx="0"/>
                        <a:fillRef idx="0"/>
                        <a:effectRef idx="0"/>
                        <a:fontRef idx="minor"/>
                      </wps:style>
                      <wps:bodyPr/>
                    </wps:wsp>
                  </a:graphicData>
                </a:graphic>
              </wp:anchor>
            </w:drawing>
          </mc:Choice>
          <mc:Fallback>
            <w:pict>
              <v:rect id="shape_0" ID="Прямоугольник 35" path="m0,0l-2147483645,0l-2147483645,-2147483646l0,-2147483646xe" fillcolor="white" stroked="t" o:allowincell="f" style="position:absolute;margin-left:222.35pt;margin-top:-34.55pt;width:52.45pt;height:23.2pt;mso-wrap-style:none;v-text-anchor:middle">
                <v:fill o:detectmouseclick="t" type="solid" color2="black"/>
                <v:stroke color="white" weight="9360" joinstyle="round" endcap="flat"/>
                <w10:wrap type="none"/>
              </v:rect>
            </w:pict>
          </mc:Fallback>
        </mc:AlternateContent>
      </w:r>
      <w:r>
        <w:rPr>
          <w:rFonts w:ascii="Times New Roman" w:hAnsi="Times New Roman"/>
          <w:caps/>
          <w:sz w:val="28"/>
          <w:szCs w:val="28"/>
        </w:rPr>
        <w:t>МИНИСТЕРСТВО НАУКИ И высшего ОБРАЗОВАНИЯ РОССИЙСКОЙ ФЕДЕРАЦИИ</w:t>
      </w:r>
    </w:p>
    <w:p>
      <w:pPr>
        <w:pStyle w:val="Normal"/>
        <w:spacing w:lineRule="auto" w:line="240"/>
        <w:ind w:hanging="0"/>
        <w:jc w:val="center"/>
        <w:rPr>
          <w:rFonts w:ascii="Times New Roman" w:hAnsi="Times New Roman"/>
          <w:caps/>
          <w:sz w:val="28"/>
          <w:szCs w:val="28"/>
        </w:rPr>
      </w:pPr>
      <w:r>
        <w:rPr>
          <w:rFonts w:ascii="Times New Roman" w:hAnsi="Times New Roman"/>
          <w:caps/>
          <w:sz w:val="28"/>
          <w:szCs w:val="28"/>
        </w:rPr>
      </w:r>
    </w:p>
    <w:p>
      <w:pPr>
        <w:pStyle w:val="Normal"/>
        <w:spacing w:lineRule="auto" w:line="240"/>
        <w:ind w:hanging="0" w:end="-185"/>
        <w:jc w:val="center"/>
        <w:rPr>
          <w:rFonts w:ascii="Times New Roman" w:hAnsi="Times New Roman"/>
          <w:caps/>
          <w:sz w:val="28"/>
          <w:szCs w:val="28"/>
        </w:rPr>
      </w:pPr>
      <w:r>
        <w:rPr>
          <w:rFonts w:ascii="Times New Roman" w:hAnsi="Times New Roman"/>
          <w:caps/>
          <w:sz w:val="28"/>
          <w:szCs w:val="28"/>
        </w:rPr>
        <w:t xml:space="preserve">ФЕДЕРАЛЬНОЕ гОСУДАРСТВЕННОЕ БЮДЖЕТНОЕ оБРАЗОВАТЕЛЬНОЕ </w:t>
      </w:r>
    </w:p>
    <w:p>
      <w:pPr>
        <w:pStyle w:val="Normal"/>
        <w:spacing w:lineRule="auto" w:line="240"/>
        <w:ind w:hanging="0" w:end="-185"/>
        <w:jc w:val="center"/>
        <w:rPr>
          <w:rFonts w:ascii="Times New Roman" w:hAnsi="Times New Roman"/>
          <w:caps/>
          <w:sz w:val="28"/>
          <w:szCs w:val="28"/>
        </w:rPr>
      </w:pPr>
      <w:r>
        <w:rPr>
          <w:rFonts w:ascii="Times New Roman" w:hAnsi="Times New Roman"/>
          <w:caps/>
          <w:sz w:val="28"/>
          <w:szCs w:val="28"/>
        </w:rPr>
        <w:t>уЧРЕЖДЕНИЕ вЫСШЕГО оБРАЗОВАНИЯ</w:t>
      </w:r>
    </w:p>
    <w:p>
      <w:pPr>
        <w:pStyle w:val="Normal"/>
        <w:spacing w:lineRule="auto" w:line="240"/>
        <w:ind w:hanging="0" w:end="-185"/>
        <w:jc w:val="center"/>
        <w:rPr>
          <w:rFonts w:ascii="Times New Roman" w:hAnsi="Times New Roman"/>
          <w:caps/>
          <w:sz w:val="28"/>
          <w:szCs w:val="28"/>
        </w:rPr>
      </w:pPr>
      <w:r>
        <w:rPr>
          <w:rFonts w:ascii="Times New Roman" w:hAnsi="Times New Roman"/>
          <w:caps/>
          <w:sz w:val="28"/>
          <w:szCs w:val="28"/>
        </w:rPr>
        <w:t>«ОРЛОВСКИЙ ГОСУДАРСТВЕННЫЙ УНИВЕРСИТЕТ</w:t>
      </w:r>
    </w:p>
    <w:p>
      <w:pPr>
        <w:pStyle w:val="Normal"/>
        <w:spacing w:lineRule="auto" w:line="240"/>
        <w:ind w:hanging="0" w:end="-185"/>
        <w:jc w:val="center"/>
        <w:rPr/>
      </w:pPr>
      <w:r>
        <w:rPr>
          <w:rFonts w:ascii="Times New Roman" w:hAnsi="Times New Roman"/>
          <w:sz w:val="28"/>
          <w:szCs w:val="28"/>
        </w:rPr>
        <w:t>имени</w:t>
      </w:r>
      <w:r>
        <w:rPr>
          <w:rFonts w:ascii="Times New Roman" w:hAnsi="Times New Roman"/>
          <w:caps/>
          <w:sz w:val="28"/>
          <w:szCs w:val="28"/>
        </w:rPr>
        <w:t xml:space="preserve"> И.С. ТУРГЕНЕВА»</w:t>
      </w:r>
    </w:p>
    <w:p>
      <w:pPr>
        <w:pStyle w:val="Normal"/>
        <w:spacing w:lineRule="auto" w:line="240"/>
        <w:ind w:hanging="0" w:end="-185"/>
        <w:jc w:val="center"/>
        <w:rPr>
          <w:rFonts w:ascii="Times New Roman" w:hAnsi="Times New Roman"/>
          <w:caps/>
          <w:sz w:val="28"/>
          <w:szCs w:val="28"/>
        </w:rPr>
      </w:pPr>
      <w:r>
        <w:rPr>
          <w:rFonts w:ascii="Times New Roman" w:hAnsi="Times New Roman"/>
          <w:caps/>
          <w:sz w:val="28"/>
          <w:szCs w:val="28"/>
        </w:rPr>
      </w:r>
    </w:p>
    <w:p>
      <w:pPr>
        <w:pStyle w:val="Normal"/>
        <w:spacing w:lineRule="auto" w:line="240"/>
        <w:ind w:hanging="0"/>
        <w:rPr>
          <w:rFonts w:ascii="Times New Roman" w:hAnsi="Times New Roman"/>
          <w:sz w:val="28"/>
          <w:szCs w:val="28"/>
        </w:rPr>
      </w:pPr>
      <w:r>
        <w:rPr>
          <w:rFonts w:ascii="Times New Roman" w:hAnsi="Times New Roman"/>
          <w:sz w:val="28"/>
          <w:szCs w:val="28"/>
        </w:rPr>
        <w:t>Институт приборостроения, автоматизации и информационных технологий</w:t>
      </w:r>
    </w:p>
    <w:p>
      <w:pPr>
        <w:pStyle w:val="Normal"/>
        <w:spacing w:lineRule="auto" w:line="240"/>
        <w:ind w:hanging="0"/>
        <w:rPr>
          <w:rFonts w:ascii="Times New Roman" w:hAnsi="Times New Roman"/>
          <w:sz w:val="28"/>
          <w:szCs w:val="28"/>
        </w:rPr>
      </w:pPr>
      <w:r>
        <w:rPr>
          <w:rFonts w:ascii="Times New Roman" w:hAnsi="Times New Roman"/>
          <w:sz w:val="28"/>
          <w:szCs w:val="28"/>
        </w:rPr>
        <w:t>Кафедра электроники, радиотехники и систем связи</w:t>
      </w:r>
    </w:p>
    <w:p>
      <w:pPr>
        <w:pStyle w:val="Normal"/>
        <w:spacing w:lineRule="auto" w:line="240"/>
        <w:ind w:hanging="0"/>
        <w:rPr>
          <w:rFonts w:ascii="Times New Roman" w:hAnsi="Times New Roman"/>
          <w:sz w:val="28"/>
          <w:szCs w:val="28"/>
        </w:rPr>
      </w:pPr>
      <w:r>
        <w:rPr>
          <w:rFonts w:ascii="Times New Roman" w:hAnsi="Times New Roman"/>
          <w:sz w:val="28"/>
          <w:szCs w:val="28"/>
        </w:rPr>
        <w:t>Направление подготовки 11.04.03 Конструирование и технология электронных средств</w:t>
      </w:r>
    </w:p>
    <w:p>
      <w:pPr>
        <w:pStyle w:val="Normal"/>
        <w:spacing w:lineRule="auto" w:line="240"/>
        <w:ind w:hanging="0"/>
        <w:rPr>
          <w:rFonts w:ascii="Times New Roman" w:hAnsi="Times New Roman"/>
          <w:sz w:val="28"/>
          <w:szCs w:val="28"/>
        </w:rPr>
      </w:pPr>
      <w:r>
        <w:rPr>
          <w:rFonts w:ascii="Times New Roman" w:hAnsi="Times New Roman"/>
          <w:sz w:val="28"/>
          <w:szCs w:val="28"/>
        </w:rPr>
        <w:t>Направленность (профиль) Информационные технологии проектирования радиоэлектронных средств и изделий микроэлектроники</w:t>
      </w:r>
    </w:p>
    <w:p>
      <w:pPr>
        <w:pStyle w:val="Normal"/>
        <w:spacing w:lineRule="auto" w:line="240"/>
        <w:ind w:firstLine="5720"/>
        <w:rPr>
          <w:rFonts w:ascii="Times New Roman" w:hAnsi="Times New Roman"/>
          <w:sz w:val="28"/>
          <w:szCs w:val="28"/>
        </w:rPr>
      </w:pPr>
      <w:r>
        <w:rPr>
          <w:rFonts w:ascii="Times New Roman" w:hAnsi="Times New Roman"/>
          <w:sz w:val="28"/>
          <w:szCs w:val="28"/>
        </w:rPr>
      </w:r>
    </w:p>
    <w:p>
      <w:pPr>
        <w:pStyle w:val="Normal"/>
        <w:spacing w:lineRule="auto" w:line="240"/>
        <w:ind w:firstLine="5954"/>
        <w:rPr>
          <w:rFonts w:ascii="Times New Roman" w:hAnsi="Times New Roman"/>
          <w:u w:val="single"/>
        </w:rPr>
      </w:pPr>
      <w:r>
        <w:rPr>
          <w:rFonts w:ascii="Times New Roman" w:hAnsi="Times New Roman"/>
        </w:rPr>
        <w:t>УТВЕРЖДАЮ:</w:t>
      </w:r>
    </w:p>
    <w:p>
      <w:pPr>
        <w:pStyle w:val="Normal"/>
        <w:spacing w:lineRule="auto" w:line="240"/>
        <w:ind w:firstLine="5954"/>
        <w:rPr>
          <w:rFonts w:ascii="Times New Roman" w:hAnsi="Times New Roman"/>
          <w:u w:val="single"/>
        </w:rPr>
      </w:pPr>
      <w:r>
        <w:rPr>
          <w:rFonts w:ascii="Times New Roman" w:hAnsi="Times New Roman"/>
        </w:rPr>
        <w:t>Зав. кафедрой</w:t>
        <w:tab/>
      </w:r>
    </w:p>
    <w:p>
      <w:pPr>
        <w:pStyle w:val="Normal"/>
        <w:spacing w:lineRule="auto" w:line="240"/>
        <w:ind w:firstLine="5954"/>
        <w:rPr>
          <w:rFonts w:ascii="Times New Roman" w:hAnsi="Times New Roman"/>
        </w:rPr>
      </w:pPr>
      <w:r>
        <w:rPr>
          <w:rFonts w:ascii="Times New Roman" w:hAnsi="Times New Roman"/>
        </w:rPr>
        <w:t>_____________ В.В. Мишин</w:t>
      </w:r>
    </w:p>
    <w:p>
      <w:pPr>
        <w:pStyle w:val="Normal"/>
        <w:spacing w:lineRule="auto" w:line="240"/>
        <w:ind w:firstLine="5954"/>
        <w:rPr>
          <w:rFonts w:ascii="Times New Roman" w:hAnsi="Times New Roman"/>
          <w:u w:val="single"/>
        </w:rPr>
      </w:pPr>
      <w:r>
        <w:rPr>
          <w:rFonts w:ascii="Times New Roman" w:hAnsi="Times New Roman"/>
        </w:rPr>
        <w:t>«____»  ____________ 2025г.</w:t>
      </w:r>
    </w:p>
    <w:p>
      <w:pPr>
        <w:pStyle w:val="Normal"/>
        <w:spacing w:lineRule="auto" w:line="240"/>
        <w:jc w:val="center"/>
        <w:rPr>
          <w:rFonts w:ascii="Times New Roman" w:hAnsi="Times New Roman"/>
          <w:b/>
          <w:bCs/>
          <w:u w:val="single"/>
        </w:rPr>
      </w:pPr>
      <w:r>
        <w:rPr>
          <w:rFonts w:ascii="Times New Roman" w:hAnsi="Times New Roman"/>
          <w:b/>
          <w:bCs/>
          <w:u w:val="single"/>
        </w:rPr>
      </w:r>
    </w:p>
    <w:p>
      <w:pPr>
        <w:pStyle w:val="Normal"/>
        <w:spacing w:lineRule="auto" w:line="240"/>
        <w:jc w:val="center"/>
        <w:rPr>
          <w:rFonts w:ascii="Times New Roman" w:hAnsi="Times New Roman"/>
          <w:b/>
          <w:bCs/>
          <w:sz w:val="28"/>
          <w:szCs w:val="28"/>
        </w:rPr>
      </w:pPr>
      <w:r>
        <w:rPr>
          <w:rFonts w:ascii="Times New Roman" w:hAnsi="Times New Roman"/>
          <w:b/>
          <w:bCs/>
          <w:sz w:val="28"/>
          <w:szCs w:val="28"/>
        </w:rPr>
        <w:t>ЗАДАНИЕ</w:t>
      </w:r>
    </w:p>
    <w:p>
      <w:pPr>
        <w:pStyle w:val="Normal"/>
        <w:spacing w:lineRule="auto" w:line="240"/>
        <w:jc w:val="center"/>
        <w:rPr>
          <w:rFonts w:ascii="Times New Roman" w:hAnsi="Times New Roman"/>
          <w:sz w:val="28"/>
          <w:szCs w:val="28"/>
        </w:rPr>
      </w:pPr>
      <w:r>
        <w:rPr>
          <w:rFonts w:ascii="Times New Roman" w:hAnsi="Times New Roman"/>
          <w:sz w:val="28"/>
          <w:szCs w:val="28"/>
        </w:rPr>
        <w:t xml:space="preserve">на выполнение выпускной квалификационной работы </w:t>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widowControl w:val="false"/>
        <w:spacing w:lineRule="auto" w:line="240"/>
        <w:ind w:hanging="0"/>
        <w:rPr/>
      </w:pPr>
      <w:r>
        <w:rPr>
          <w:rFonts w:ascii="Times New Roman" w:hAnsi="Times New Roman"/>
          <w:sz w:val="28"/>
          <w:szCs w:val="28"/>
        </w:rPr>
        <w:t>студента Остапова</w:t>
      </w:r>
      <w:r>
        <w:rPr>
          <w:rFonts w:eastAsia="Calibri" w:ascii="Times New Roman" w:hAnsi="Times New Roman"/>
          <w:sz w:val="28"/>
          <w:szCs w:val="28"/>
        </w:rPr>
        <w:t xml:space="preserve"> Владислава Руслановича</w:t>
      </w:r>
      <w:r>
        <w:rPr>
          <w:rFonts w:ascii="Times New Roman" w:hAnsi="Times New Roman"/>
          <w:sz w:val="28"/>
          <w:szCs w:val="28"/>
        </w:rPr>
        <w:t xml:space="preserve">      шифр </w:t>
      </w:r>
      <w:r>
        <w:rPr>
          <w:rFonts w:eastAsia="Calibri" w:ascii="Times New Roman" w:hAnsi="Times New Roman"/>
          <w:sz w:val="28"/>
          <w:szCs w:val="28"/>
        </w:rPr>
        <w:t>245116</w:t>
      </w:r>
    </w:p>
    <w:p>
      <w:pPr>
        <w:pStyle w:val="Normal"/>
        <w:spacing w:lineRule="auto" w:line="240"/>
        <w:ind w:hanging="0" w:start="1416"/>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ind w:hanging="0"/>
        <w:rPr/>
      </w:pPr>
      <w:r>
        <w:rPr>
          <w:rFonts w:ascii="Times New Roman" w:hAnsi="Times New Roman"/>
          <w:color w:val="000000"/>
          <w:sz w:val="28"/>
          <w:szCs w:val="28"/>
        </w:rPr>
        <w:t>1. Тема ВКР</w:t>
      </w:r>
      <w:r>
        <w:rPr>
          <w:rFonts w:eastAsia="Calibri" w:ascii="Times New Roman" w:hAnsi="Times New Roman"/>
          <w:sz w:val="28"/>
          <w:szCs w:val="28"/>
        </w:rPr>
        <w:t xml:space="preserve"> </w:t>
      </w:r>
      <w:r>
        <w:rPr>
          <w:rFonts w:eastAsia="Calibri" w:ascii="Times New Roman" w:hAnsi="Times New Roman"/>
          <w:sz w:val="28"/>
          <w:szCs w:val="28"/>
          <w:u w:val="single"/>
        </w:rPr>
        <w:t>Устройство определения параметров периодических сигналов в условиях помех</w:t>
      </w:r>
    </w:p>
    <w:p>
      <w:pPr>
        <w:pStyle w:val="Normal"/>
        <w:widowControl w:val="false"/>
        <w:spacing w:lineRule="auto" w:line="240"/>
        <w:ind w:hanging="0"/>
        <w:rPr>
          <w:rFonts w:ascii="Times New Roman" w:hAnsi="Times New Roman"/>
          <w:sz w:val="28"/>
          <w:szCs w:val="28"/>
        </w:rPr>
      </w:pPr>
      <w:r>
        <w:rPr>
          <w:rFonts w:ascii="Times New Roman" w:hAnsi="Times New Roman"/>
          <w:sz w:val="28"/>
          <w:szCs w:val="28"/>
        </w:rPr>
        <w:t>Утверждена приказом по университету от «</w:t>
      </w:r>
      <w:r>
        <w:rPr>
          <w:rFonts w:ascii="Times New Roman" w:hAnsi="Times New Roman"/>
          <w:sz w:val="28"/>
          <w:szCs w:val="28"/>
          <w:u w:val="single"/>
        </w:rPr>
        <w:t>02</w:t>
      </w:r>
      <w:r>
        <w:rPr>
          <w:rFonts w:ascii="Times New Roman" w:hAnsi="Times New Roman"/>
          <w:sz w:val="28"/>
          <w:szCs w:val="28"/>
        </w:rPr>
        <w:t xml:space="preserve"> » </w:t>
      </w:r>
      <w:r>
        <w:rPr>
          <w:rFonts w:ascii="Times New Roman" w:hAnsi="Times New Roman"/>
          <w:sz w:val="28"/>
          <w:szCs w:val="28"/>
          <w:u w:val="single"/>
        </w:rPr>
        <w:t xml:space="preserve">октября </w:t>
      </w:r>
      <w:r>
        <w:rPr>
          <w:rFonts w:ascii="Times New Roman" w:hAnsi="Times New Roman"/>
          <w:sz w:val="28"/>
          <w:szCs w:val="28"/>
        </w:rPr>
        <w:t xml:space="preserve">2025 года  № </w:t>
      </w:r>
      <w:r>
        <w:rPr>
          <w:rFonts w:ascii="Times New Roman" w:hAnsi="Times New Roman"/>
          <w:sz w:val="28"/>
          <w:szCs w:val="28"/>
          <w:u w:val="single"/>
        </w:rPr>
        <w:t>8-169</w:t>
      </w:r>
    </w:p>
    <w:p>
      <w:pPr>
        <w:pStyle w:val="Normal"/>
        <w:widowControl w:val="false"/>
        <w:spacing w:lineRule="auto" w:line="240"/>
        <w:ind w:hanging="0"/>
        <w:rPr>
          <w:rFonts w:ascii="Times New Roman" w:hAnsi="Times New Roman"/>
          <w:sz w:val="28"/>
          <w:szCs w:val="28"/>
        </w:rPr>
      </w:pPr>
      <w:r>
        <w:rPr>
          <w:rFonts w:ascii="Times New Roman" w:hAnsi="Times New Roman"/>
          <w:sz w:val="28"/>
          <w:szCs w:val="28"/>
        </w:rPr>
      </w:r>
    </w:p>
    <w:p>
      <w:pPr>
        <w:pStyle w:val="Normal"/>
        <w:widowControl w:val="false"/>
        <w:spacing w:lineRule="auto" w:line="240"/>
        <w:ind w:hanging="0"/>
        <w:rPr/>
      </w:pPr>
      <w:r>
        <w:rPr>
          <w:rFonts w:ascii="Times New Roman" w:hAnsi="Times New Roman"/>
          <w:sz w:val="28"/>
          <w:szCs w:val="28"/>
        </w:rPr>
        <w:t>2. Срок сдачи студентом законченной работы «</w:t>
      </w:r>
      <w:r>
        <w:rPr>
          <w:rFonts w:ascii="Times New Roman" w:hAnsi="Times New Roman"/>
          <w:sz w:val="28"/>
          <w:szCs w:val="28"/>
          <w:u w:val="single"/>
        </w:rPr>
        <w:t>03</w:t>
      </w:r>
      <w:r>
        <w:rPr>
          <w:rFonts w:ascii="Times New Roman" w:hAnsi="Times New Roman"/>
          <w:sz w:val="28"/>
          <w:szCs w:val="28"/>
        </w:rPr>
        <w:t xml:space="preserve"> »</w:t>
      </w:r>
      <w:r>
        <w:rPr>
          <w:rFonts w:ascii="Times New Roman" w:hAnsi="Times New Roman"/>
          <w:sz w:val="28"/>
          <w:szCs w:val="28"/>
          <w:u w:val="single"/>
        </w:rPr>
        <w:t xml:space="preserve">июня </w:t>
      </w:r>
      <w:r>
        <w:rPr>
          <w:rFonts w:ascii="Times New Roman" w:hAnsi="Times New Roman"/>
          <w:sz w:val="28"/>
          <w:szCs w:val="28"/>
        </w:rPr>
        <w:t xml:space="preserve">2026 года  </w:t>
      </w:r>
    </w:p>
    <w:p>
      <w:pPr>
        <w:pStyle w:val="Normal"/>
        <w:widowControl w:val="false"/>
        <w:spacing w:lineRule="auto" w:line="240"/>
        <w:ind w:hanging="0"/>
        <w:rPr>
          <w:rFonts w:ascii="Times New Roman" w:hAnsi="Times New Roman"/>
          <w:sz w:val="28"/>
          <w:szCs w:val="28"/>
        </w:rPr>
      </w:pPr>
      <w:r>
        <w:rPr>
          <w:rFonts w:ascii="Times New Roman" w:hAnsi="Times New Roman"/>
          <w:sz w:val="28"/>
          <w:szCs w:val="28"/>
        </w:rPr>
      </w:r>
    </w:p>
    <w:p>
      <w:pPr>
        <w:pStyle w:val="Normal"/>
        <w:tabs>
          <w:tab w:val="clear" w:pos="708"/>
          <w:tab w:val="left" w:pos="2828" w:leader="none"/>
        </w:tabs>
        <w:spacing w:lineRule="auto" w:line="240"/>
        <w:ind w:hanging="0"/>
        <w:rPr>
          <w:rFonts w:ascii="Times New Roman" w:hAnsi="Times New Roman"/>
          <w:sz w:val="28"/>
          <w:szCs w:val="28"/>
        </w:rPr>
      </w:pPr>
      <w:r>
        <w:rPr>
          <w:rFonts w:ascii="Times New Roman" w:hAnsi="Times New Roman"/>
          <w:sz w:val="28"/>
          <w:szCs w:val="28"/>
        </w:rPr>
        <w:t xml:space="preserve">3. Исходные данные к работе: </w:t>
      </w:r>
    </w:p>
    <w:p>
      <w:pPr>
        <w:pStyle w:val="Normal"/>
        <w:tabs>
          <w:tab w:val="clear" w:pos="708"/>
          <w:tab w:val="left" w:pos="2828" w:leader="none"/>
        </w:tabs>
        <w:spacing w:lineRule="auto" w:line="240"/>
        <w:ind w:hanging="0"/>
        <w:rPr>
          <w:highlight w:val="none"/>
          <w:shd w:fill="auto" w:val="clear"/>
        </w:rPr>
      </w:pPr>
      <w:r>
        <w:rPr>
          <w:rFonts w:ascii="Times New Roman" w:hAnsi="Times New Roman"/>
          <w:i/>
          <w:iCs/>
          <w:sz w:val="28"/>
          <w:szCs w:val="28"/>
          <w:u w:val="single"/>
          <w:shd w:fill="auto" w:val="clear"/>
        </w:rPr>
        <w:t xml:space="preserve">объект исследования –  </w:t>
        <w:tab/>
        <w:tab/>
        <w:tab/>
        <w:tab/>
        <w:tab/>
        <w:tab/>
        <w:tab/>
        <w:tab/>
        <w:tab/>
        <w:t xml:space="preserve">; </w:t>
      </w:r>
    </w:p>
    <w:p>
      <w:pPr>
        <w:pStyle w:val="Normal"/>
        <w:tabs>
          <w:tab w:val="clear" w:pos="708"/>
          <w:tab w:val="left" w:pos="2828" w:leader="none"/>
        </w:tabs>
        <w:spacing w:lineRule="auto" w:line="240"/>
        <w:ind w:hanging="0"/>
        <w:rPr>
          <w:highlight w:val="none"/>
          <w:shd w:fill="auto" w:val="clear"/>
        </w:rPr>
      </w:pPr>
      <w:r>
        <w:rPr>
          <w:rFonts w:ascii="Times New Roman" w:hAnsi="Times New Roman"/>
          <w:i/>
          <w:iCs/>
          <w:sz w:val="28"/>
          <w:szCs w:val="28"/>
          <w:u w:val="single"/>
          <w:shd w:fill="auto" w:val="clear"/>
        </w:rPr>
        <w:t xml:space="preserve">предмет исследования – </w:t>
        <w:tab/>
        <w:tab/>
        <w:tab/>
        <w:tab/>
        <w:tab/>
        <w:tab/>
        <w:tab/>
        <w:tab/>
        <w:tab/>
        <w:t xml:space="preserve">; </w:t>
      </w:r>
    </w:p>
    <w:p>
      <w:pPr>
        <w:pStyle w:val="Normal"/>
        <w:tabs>
          <w:tab w:val="clear" w:pos="708"/>
          <w:tab w:val="left" w:pos="2828" w:leader="none"/>
        </w:tabs>
        <w:spacing w:lineRule="auto" w:line="240"/>
        <w:ind w:hanging="0"/>
        <w:rPr/>
      </w:pPr>
      <w:r>
        <w:rPr>
          <w:rFonts w:ascii="Times New Roman" w:hAnsi="Times New Roman"/>
          <w:i/>
          <w:iCs/>
          <w:sz w:val="28"/>
          <w:szCs w:val="28"/>
          <w:u w:val="single"/>
          <w:shd w:fill="auto" w:val="clear"/>
        </w:rPr>
        <w:t xml:space="preserve">цель исследования – </w:t>
        <w:tab/>
        <w:tab/>
        <w:tab/>
      </w:r>
      <w:r>
        <w:rPr>
          <w:rFonts w:ascii="Times New Roman" w:hAnsi="Times New Roman"/>
          <w:i/>
          <w:iCs/>
          <w:sz w:val="28"/>
          <w:szCs w:val="28"/>
          <w:u w:val="single"/>
        </w:rPr>
        <w:tab/>
        <w:tab/>
        <w:tab/>
        <w:tab/>
        <w:tab/>
        <w:tab/>
        <w:tab/>
        <w:tab/>
      </w:r>
    </w:p>
    <w:p>
      <w:pPr>
        <w:pStyle w:val="Normal"/>
        <w:tabs>
          <w:tab w:val="clear" w:pos="708"/>
          <w:tab w:val="left" w:pos="2828" w:leader="none"/>
        </w:tabs>
        <w:spacing w:lineRule="auto" w:line="240"/>
        <w:ind w:hanging="0"/>
        <w:rPr>
          <w:rFonts w:ascii="Times New Roman" w:hAnsi="Times New Roman"/>
          <w:i/>
          <w:i/>
          <w:iCs/>
          <w:sz w:val="28"/>
          <w:szCs w:val="28"/>
          <w:u w:val="single"/>
        </w:rPr>
      </w:pPr>
      <w:r>
        <w:rPr>
          <w:rFonts w:ascii="Times New Roman" w:hAnsi="Times New Roman"/>
          <w:i/>
          <w:iCs/>
          <w:sz w:val="28"/>
          <w:szCs w:val="28"/>
          <w:u w:val="single"/>
        </w:rPr>
      </w:r>
    </w:p>
    <w:p>
      <w:pPr>
        <w:pStyle w:val="Default"/>
        <w:jc w:val="both"/>
        <w:rPr/>
      </w:pPr>
      <w:r>
        <w:rPr>
          <w:sz w:val="28"/>
          <w:szCs w:val="28"/>
        </w:rPr>
        <w:t>4. Содержание ВКР (перечень подлежащих разработке вопросов)</w:t>
      </w:r>
    </w:p>
    <w:p>
      <w:pPr>
        <w:pStyle w:val="Normal"/>
        <w:tabs>
          <w:tab w:val="clear" w:pos="708"/>
          <w:tab w:val="left" w:pos="2828" w:leader="none"/>
        </w:tabs>
        <w:spacing w:lineRule="auto" w:line="240"/>
        <w:ind w:hanging="0"/>
        <w:rPr>
          <w:rFonts w:ascii="Times New Roman" w:hAnsi="Times New Roman"/>
          <w:i/>
          <w:i/>
          <w:iCs/>
          <w:sz w:val="28"/>
          <w:szCs w:val="28"/>
          <w:u w:val="single"/>
        </w:rPr>
      </w:pPr>
      <w:r>
        <w:rPr>
          <w:rFonts w:ascii="Times New Roman" w:hAnsi="Times New Roman"/>
          <w:i/>
          <w:iCs/>
          <w:sz w:val="28"/>
          <w:szCs w:val="28"/>
          <w:u w:val="single"/>
        </w:rPr>
        <w:t xml:space="preserve">4.1 Аналитический раздел; </w:t>
      </w:r>
    </w:p>
    <w:p>
      <w:pPr>
        <w:pStyle w:val="Normal"/>
        <w:tabs>
          <w:tab w:val="clear" w:pos="708"/>
          <w:tab w:val="left" w:pos="2828" w:leader="none"/>
        </w:tabs>
        <w:spacing w:lineRule="auto" w:line="240"/>
        <w:ind w:hanging="0"/>
        <w:rPr>
          <w:rFonts w:ascii="Times New Roman" w:hAnsi="Times New Roman"/>
          <w:i/>
          <w:i/>
          <w:iCs/>
          <w:sz w:val="28"/>
          <w:szCs w:val="28"/>
          <w:u w:val="single"/>
        </w:rPr>
      </w:pPr>
      <w:r>
        <w:rPr>
          <w:rFonts w:ascii="Times New Roman" w:hAnsi="Times New Roman"/>
          <w:i/>
          <w:iCs/>
          <w:sz w:val="28"/>
          <w:szCs w:val="28"/>
          <w:u w:val="single"/>
        </w:rPr>
        <w:t xml:space="preserve">4.2 Исследовательский раздел; </w:t>
      </w:r>
    </w:p>
    <w:p>
      <w:pPr>
        <w:pStyle w:val="Normal"/>
        <w:tabs>
          <w:tab w:val="clear" w:pos="708"/>
          <w:tab w:val="left" w:pos="2828" w:leader="none"/>
        </w:tabs>
        <w:spacing w:lineRule="auto" w:line="240"/>
        <w:ind w:hanging="0"/>
        <w:rPr>
          <w:rFonts w:ascii="Times New Roman" w:hAnsi="Times New Roman"/>
        </w:rPr>
      </w:pPr>
      <w:r>
        <w:rPr>
          <w:rFonts w:ascii="Times New Roman" w:hAnsi="Times New Roman"/>
          <w:i/>
          <w:iCs/>
          <w:sz w:val="28"/>
          <w:szCs w:val="28"/>
          <w:u w:val="single"/>
        </w:rPr>
        <w:t>4.3 Практический раздел</w:t>
      </w:r>
      <w:r>
        <w:rPr>
          <w:rFonts w:ascii="Times New Roman" w:hAnsi="Times New Roman"/>
          <w:sz w:val="28"/>
          <w:szCs w:val="28"/>
          <w:u w:val="single"/>
        </w:rPr>
        <w:t>.</w:t>
      </w:r>
      <w:r>
        <w:br w:type="page"/>
      </w:r>
    </w:p>
    <w:p>
      <w:pPr>
        <w:pStyle w:val="Normal"/>
        <w:tabs>
          <w:tab w:val="clear" w:pos="708"/>
          <w:tab w:val="left" w:pos="2828" w:leader="none"/>
        </w:tabs>
        <w:spacing w:lineRule="auto" w:line="240" w:before="0" w:after="0"/>
        <w:ind w:hanging="0"/>
        <w:rPr>
          <w:rFonts w:ascii="Times New Roman" w:hAnsi="Times New Roman"/>
        </w:rPr>
      </w:pPr>
      <w:r>
        <w:rPr>
          <w:rFonts w:ascii="Times New Roman" w:hAnsi="Times New Roman"/>
        </w:rPr>
      </w:r>
    </w:p>
    <w:p>
      <w:pPr>
        <w:pStyle w:val="Normal"/>
        <w:spacing w:lineRule="auto" w:line="240"/>
        <w:rPr>
          <w:rFonts w:ascii="Times New Roman" w:hAnsi="Times New Roman"/>
          <w:sz w:val="2"/>
          <w:szCs w:val="2"/>
          <w:u w:val="single"/>
        </w:rPr>
      </w:pPr>
      <w:r>
        <w:rPr>
          <w:rFonts w:ascii="Times New Roman" w:hAnsi="Times New Roman"/>
          <w:sz w:val="2"/>
          <w:szCs w:val="2"/>
          <w:u w:val="single"/>
        </w:rPr>
      </w:r>
    </w:p>
    <w:p>
      <w:pPr>
        <w:pStyle w:val="Normal"/>
        <w:spacing w:lineRule="auto" w:line="240"/>
        <w:ind w:hanging="0"/>
        <w:rPr/>
      </w:pPr>
      <w:r>
        <mc:AlternateContent>
          <mc:Choice Requires="wps">
            <w:drawing>
              <wp:anchor behindDoc="0" distT="5080" distB="5080" distL="5080" distR="5080" simplePos="0" locked="0" layoutInCell="1" allowOverlap="1" relativeHeight="90">
                <wp:simplePos x="0" y="0"/>
                <wp:positionH relativeFrom="column">
                  <wp:posOffset>2861945</wp:posOffset>
                </wp:positionH>
                <wp:positionV relativeFrom="paragraph">
                  <wp:posOffset>-314960</wp:posOffset>
                </wp:positionV>
                <wp:extent cx="666750" cy="295275"/>
                <wp:effectExtent l="5080" t="5080" r="5080" b="5080"/>
                <wp:wrapNone/>
                <wp:docPr id="9" name="Прямоугольник 34"/>
                <a:graphic xmlns:a="http://schemas.openxmlformats.org/drawingml/2006/main">
                  <a:graphicData uri="http://schemas.microsoft.com/office/word/2010/wordprocessingShape">
                    <wps:wsp>
                      <wps:cNvSpPr/>
                      <wps:spPr>
                        <a:xfrm>
                          <a:off x="0" y="0"/>
                          <a:ext cx="666720" cy="295200"/>
                        </a:xfrm>
                        <a:prstGeom prst="rect">
                          <a:avLst/>
                        </a:prstGeom>
                        <a:solidFill>
                          <a:srgbClr val="ffffff"/>
                        </a:solidFill>
                        <a:ln w="9360">
                          <a:solidFill>
                            <a:srgbClr val="ffffff"/>
                          </a:solidFill>
                          <a:round/>
                        </a:ln>
                      </wps:spPr>
                      <wps:style>
                        <a:lnRef idx="0"/>
                        <a:fillRef idx="0"/>
                        <a:effectRef idx="0"/>
                        <a:fontRef idx="minor"/>
                      </wps:style>
                      <wps:bodyPr/>
                    </wps:wsp>
                  </a:graphicData>
                </a:graphic>
              </wp:anchor>
            </w:drawing>
          </mc:Choice>
          <mc:Fallback>
            <w:pict>
              <v:rect id="shape_0" ID="Прямоугольник 34" path="m0,0l-2147483645,0l-2147483645,-2147483646l0,-2147483646xe" fillcolor="white" stroked="t" o:allowincell="f" style="position:absolute;margin-left:225.35pt;margin-top:-24.8pt;width:52.45pt;height:23.2pt;mso-wrap-style:none;v-text-anchor:middle">
                <v:fill o:detectmouseclick="t" type="solid" color2="black"/>
                <v:stroke color="white" weight="9360" joinstyle="round" endcap="flat"/>
                <w10:wrap type="none"/>
              </v:rect>
            </w:pict>
          </mc:Fallback>
        </mc:AlternateContent>
      </w:r>
      <w:r>
        <w:rPr>
          <w:rFonts w:ascii="Times New Roman" w:hAnsi="Times New Roman"/>
          <w:i/>
          <w:iCs/>
          <w:sz w:val="28"/>
          <w:szCs w:val="28"/>
        </w:rPr>
        <w:t xml:space="preserve">5. </w:t>
      </w:r>
      <w:r>
        <w:rPr>
          <w:rFonts w:ascii="Times New Roman" w:hAnsi="Times New Roman"/>
          <w:sz w:val="28"/>
          <w:szCs w:val="28"/>
        </w:rPr>
        <w:t xml:space="preserve">Перечень демонстрационного материала: </w:t>
      </w:r>
      <w:r>
        <w:rPr>
          <w:rFonts w:ascii="Times New Roman" w:hAnsi="Times New Roman"/>
          <w:sz w:val="28"/>
          <w:szCs w:val="28"/>
          <w:u w:val="single"/>
        </w:rPr>
        <w:t>презентация, отражающая основные этапы и результаты выполнения ВКР</w:t>
      </w:r>
    </w:p>
    <w:p>
      <w:pPr>
        <w:pStyle w:val="Normal"/>
        <w:spacing w:lineRule="auto" w:line="240"/>
        <w:ind w:hanging="0"/>
        <w:rPr>
          <w:rFonts w:ascii="Times New Roman" w:hAnsi="Times New Roman"/>
          <w:sz w:val="28"/>
          <w:szCs w:val="28"/>
          <w:u w:val="single"/>
        </w:rPr>
      </w:pPr>
      <w:r>
        <w:rPr>
          <w:rFonts w:ascii="Times New Roman" w:hAnsi="Times New Roman"/>
          <w:sz w:val="28"/>
          <w:szCs w:val="28"/>
          <w:u w:val="single"/>
        </w:rPr>
      </w:r>
    </w:p>
    <w:p>
      <w:pPr>
        <w:pStyle w:val="Normal"/>
        <w:spacing w:lineRule="auto" w:line="240"/>
        <w:ind w:hanging="0"/>
        <w:rPr/>
      </w:pPr>
      <w:r>
        <w:rPr>
          <w:rFonts w:ascii="Times New Roman" w:hAnsi="Times New Roman"/>
          <w:sz w:val="28"/>
          <w:szCs w:val="28"/>
        </w:rPr>
        <w:t>Дата выдачи задания «</w:t>
      </w:r>
      <w:r>
        <w:rPr>
          <w:rFonts w:ascii="Times New Roman" w:hAnsi="Times New Roman"/>
          <w:sz w:val="28"/>
          <w:szCs w:val="28"/>
          <w:u w:val="single"/>
        </w:rPr>
        <w:t>02</w:t>
      </w:r>
      <w:r>
        <w:rPr>
          <w:rFonts w:ascii="Times New Roman" w:hAnsi="Times New Roman"/>
          <w:sz w:val="28"/>
          <w:szCs w:val="28"/>
        </w:rPr>
        <w:t xml:space="preserve"> » </w:t>
      </w:r>
      <w:r>
        <w:rPr>
          <w:rFonts w:ascii="Times New Roman" w:hAnsi="Times New Roman"/>
          <w:sz w:val="28"/>
          <w:szCs w:val="28"/>
          <w:u w:val="single"/>
        </w:rPr>
        <w:t xml:space="preserve">октября </w:t>
      </w:r>
      <w:r>
        <w:rPr>
          <w:rFonts w:ascii="Times New Roman" w:hAnsi="Times New Roman"/>
          <w:sz w:val="28"/>
          <w:szCs w:val="28"/>
        </w:rPr>
        <w:t>2025 г.</w:t>
      </w:r>
    </w:p>
    <w:p>
      <w:pPr>
        <w:pStyle w:val="Normal"/>
        <w:spacing w:lineRule="auto" w:line="240"/>
        <w:ind w:hanging="0"/>
        <w:rPr>
          <w:rFonts w:ascii="Times New Roman" w:hAnsi="Times New Roman"/>
          <w:sz w:val="28"/>
          <w:szCs w:val="28"/>
        </w:rPr>
      </w:pPr>
      <w:r>
        <w:rPr>
          <w:rFonts w:ascii="Times New Roman" w:hAnsi="Times New Roman"/>
          <w:sz w:val="28"/>
          <w:szCs w:val="28"/>
        </w:rPr>
      </w:r>
    </w:p>
    <w:p>
      <w:pPr>
        <w:pStyle w:val="Normal"/>
        <w:spacing w:lineRule="auto" w:line="240"/>
        <w:ind w:hanging="0"/>
        <w:rPr/>
      </w:pPr>
      <w:r>
        <w:rPr>
          <w:rFonts w:ascii="Times New Roman" w:hAnsi="Times New Roman"/>
          <w:sz w:val="28"/>
          <w:szCs w:val="28"/>
        </w:rPr>
        <w:t>Научный руководитель</w:t>
        <w:tab/>
        <w:tab/>
        <w:t xml:space="preserve"> _______________________     Донцов В.М.</w:t>
      </w:r>
    </w:p>
    <w:p>
      <w:pPr>
        <w:pStyle w:val="Normal"/>
        <w:spacing w:lineRule="auto" w:line="240"/>
        <w:ind w:hanging="0" w:start="4248"/>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ind w:hanging="0"/>
        <w:rPr/>
      </w:pPr>
      <w:r>
        <w:rPr>
          <w:rFonts w:ascii="Times New Roman" w:hAnsi="Times New Roman"/>
          <w:sz w:val="28"/>
          <w:szCs w:val="28"/>
        </w:rPr>
        <w:t xml:space="preserve">Задание принял к исполнению </w:t>
        <w:tab/>
        <w:t>___________________     Остапов В.Р.</w:t>
      </w:r>
    </w:p>
    <w:p>
      <w:pPr>
        <w:pStyle w:val="Normal"/>
        <w:spacing w:lineRule="auto" w:line="240"/>
        <w:ind w:firstLine="426" w:start="4530"/>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t>КАЛЕНДАРНЫЙ ПЛАН</w:t>
      </w:r>
    </w:p>
    <w:p>
      <w:pPr>
        <w:pStyle w:val="Normal"/>
        <w:spacing w:lineRule="auto" w:line="240"/>
        <w:rPr>
          <w:rFonts w:ascii="Times New Roman" w:hAnsi="Times New Roman"/>
          <w:sz w:val="28"/>
          <w:szCs w:val="28"/>
        </w:rPr>
      </w:pPr>
      <w:r>
        <w:rPr>
          <w:rFonts w:ascii="Times New Roman" w:hAnsi="Times New Roman"/>
          <w:sz w:val="28"/>
          <w:szCs w:val="28"/>
        </w:rPr>
      </w:r>
    </w:p>
    <w:tbl>
      <w:tblPr>
        <w:tblW w:w="9816" w:type="dxa"/>
        <w:jc w:val="start"/>
        <w:tblInd w:w="-113" w:type="dxa"/>
        <w:tblLayout w:type="fixed"/>
        <w:tblCellMar>
          <w:top w:w="0" w:type="dxa"/>
          <w:start w:w="115" w:type="dxa"/>
          <w:bottom w:w="0" w:type="dxa"/>
          <w:end w:w="115" w:type="dxa"/>
        </w:tblCellMar>
        <w:tblLook w:val="0000" w:noHBand="0" w:noVBand="0" w:firstColumn="0" w:lastRow="0" w:lastColumn="0" w:firstRow="0"/>
      </w:tblPr>
      <w:tblGrid>
        <w:gridCol w:w="5612"/>
        <w:gridCol w:w="2551"/>
        <w:gridCol w:w="1653"/>
      </w:tblGrid>
      <w:tr>
        <w:trPr/>
        <w:tc>
          <w:tcPr>
            <w:tcW w:w="561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rPr>
            </w:pPr>
            <w:r>
              <w:rPr>
                <w:rFonts w:ascii="Times New Roman" w:hAnsi="Times New Roman"/>
              </w:rPr>
              <w:t>Наименование этапов</w:t>
            </w:r>
          </w:p>
          <w:p>
            <w:pPr>
              <w:pStyle w:val="Normal"/>
              <w:spacing w:lineRule="auto" w:line="240"/>
              <w:jc w:val="center"/>
              <w:rPr>
                <w:rFonts w:ascii="Times New Roman" w:hAnsi="Times New Roman"/>
              </w:rPr>
            </w:pPr>
            <w:r>
              <w:rPr>
                <w:rFonts w:ascii="Times New Roman" w:hAnsi="Times New Roman"/>
              </w:rPr>
              <w:t>ВКР</w:t>
            </w:r>
          </w:p>
        </w:tc>
        <w:tc>
          <w:tcPr>
            <w:tcW w:w="255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rPr>
            </w:pPr>
            <w:r>
              <w:rPr>
                <w:rFonts w:ascii="Times New Roman" w:hAnsi="Times New Roman"/>
              </w:rPr>
              <w:t>Срок выполнения этапов работы</w:t>
            </w:r>
          </w:p>
        </w:tc>
        <w:tc>
          <w:tcPr>
            <w:tcW w:w="165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rPr>
            </w:pPr>
            <w:r>
              <w:rPr>
                <w:rFonts w:ascii="Times New Roman" w:hAnsi="Times New Roman"/>
              </w:rPr>
              <w:t>Примечание</w:t>
            </w:r>
          </w:p>
        </w:tc>
      </w:tr>
      <w:tr>
        <w:trPr/>
        <w:tc>
          <w:tcPr>
            <w:tcW w:w="5612" w:type="dxa"/>
            <w:tcBorders>
              <w:top w:val="single" w:sz="4" w:space="0" w:color="000000"/>
              <w:start w:val="single" w:sz="4" w:space="0" w:color="000000"/>
              <w:bottom w:val="single" w:sz="4" w:space="0" w:color="000000"/>
              <w:end w:val="single" w:sz="4" w:space="0" w:color="000000"/>
            </w:tcBorders>
          </w:tcPr>
          <w:p>
            <w:pPr>
              <w:pStyle w:val="Default"/>
              <w:ind w:hanging="29"/>
              <w:rPr/>
            </w:pPr>
            <w:r>
              <w:rPr/>
              <w:t>Подбор литературы, ее изучение и обработка. Составление библиографии по основным источникам.</w:t>
            </w:r>
          </w:p>
        </w:tc>
        <w:tc>
          <w:tcPr>
            <w:tcW w:w="2551" w:type="dxa"/>
            <w:tcBorders>
              <w:top w:val="single" w:sz="4" w:space="0" w:color="000000"/>
              <w:start w:val="single" w:sz="4" w:space="0" w:color="000000"/>
              <w:bottom w:val="single" w:sz="4" w:space="0" w:color="000000"/>
              <w:end w:val="single" w:sz="4" w:space="0" w:color="000000"/>
            </w:tcBorders>
            <w:vAlign w:val="center"/>
          </w:tcPr>
          <w:p>
            <w:pPr>
              <w:pStyle w:val="Default"/>
              <w:ind w:hanging="29"/>
              <w:jc w:val="center"/>
              <w:rPr>
                <w:highlight w:val="none"/>
                <w:shd w:fill="auto" w:val="clear"/>
              </w:rPr>
            </w:pPr>
            <w:r>
              <w:rPr>
                <w:shd w:fill="auto" w:val="clear"/>
              </w:rPr>
              <w:t>до «__» ______20__</w:t>
            </w:r>
          </w:p>
        </w:tc>
        <w:tc>
          <w:tcPr>
            <w:tcW w:w="165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12" w:type="dxa"/>
            <w:tcBorders>
              <w:top w:val="single" w:sz="4" w:space="0" w:color="000000"/>
              <w:start w:val="single" w:sz="4" w:space="0" w:color="000000"/>
              <w:bottom w:val="single" w:sz="4" w:space="0" w:color="000000"/>
              <w:end w:val="single" w:sz="4" w:space="0" w:color="000000"/>
            </w:tcBorders>
          </w:tcPr>
          <w:p>
            <w:pPr>
              <w:pStyle w:val="Default"/>
              <w:ind w:hanging="29"/>
              <w:rPr>
                <w:highlight w:val="yellow"/>
              </w:rPr>
            </w:pPr>
            <w:r>
              <w:rPr/>
              <w:t>Разработка и представление на проверку первого раздела.</w:t>
            </w:r>
          </w:p>
        </w:tc>
        <w:tc>
          <w:tcPr>
            <w:tcW w:w="2551"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12" w:type="dxa"/>
            <w:tcBorders>
              <w:top w:val="single" w:sz="4" w:space="0" w:color="000000"/>
              <w:start w:val="single" w:sz="4" w:space="0" w:color="000000"/>
              <w:bottom w:val="single" w:sz="4" w:space="0" w:color="000000"/>
              <w:end w:val="single" w:sz="4" w:space="0" w:color="000000"/>
            </w:tcBorders>
          </w:tcPr>
          <w:p>
            <w:pPr>
              <w:pStyle w:val="Default"/>
              <w:ind w:hanging="29"/>
              <w:rPr>
                <w:highlight w:val="yellow"/>
              </w:rPr>
            </w:pPr>
            <w:r>
              <w:rPr/>
              <w:t>Накопление, систематизация, анализ практических материалов.</w:t>
            </w:r>
          </w:p>
        </w:tc>
        <w:tc>
          <w:tcPr>
            <w:tcW w:w="2551"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12" w:type="dxa"/>
            <w:tcBorders>
              <w:top w:val="single" w:sz="4" w:space="0" w:color="000000"/>
              <w:start w:val="single" w:sz="4" w:space="0" w:color="000000"/>
              <w:bottom w:val="single" w:sz="4" w:space="0" w:color="000000"/>
              <w:end w:val="single" w:sz="4" w:space="0" w:color="000000"/>
            </w:tcBorders>
          </w:tcPr>
          <w:p>
            <w:pPr>
              <w:pStyle w:val="Default"/>
              <w:ind w:hanging="29"/>
              <w:rPr>
                <w:highlight w:val="yellow"/>
              </w:rPr>
            </w:pPr>
            <w:r>
              <w:rPr/>
              <w:t>Разработка и представление на проверку остальных разделов</w:t>
            </w:r>
          </w:p>
        </w:tc>
        <w:tc>
          <w:tcPr>
            <w:tcW w:w="2551"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12" w:type="dxa"/>
            <w:tcBorders>
              <w:top w:val="single" w:sz="4" w:space="0" w:color="000000"/>
              <w:start w:val="single" w:sz="4" w:space="0" w:color="000000"/>
              <w:bottom w:val="single" w:sz="4" w:space="0" w:color="000000"/>
              <w:end w:val="single" w:sz="4" w:space="0" w:color="000000"/>
            </w:tcBorders>
          </w:tcPr>
          <w:p>
            <w:pPr>
              <w:pStyle w:val="Default"/>
              <w:ind w:hanging="29"/>
              <w:rPr>
                <w:highlight w:val="yellow"/>
              </w:rPr>
            </w:pPr>
            <w:r>
              <w:rPr/>
              <w:t>Согласование с руководителем выводов и приложений.</w:t>
            </w:r>
          </w:p>
        </w:tc>
        <w:tc>
          <w:tcPr>
            <w:tcW w:w="2551"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12" w:type="dxa"/>
            <w:tcBorders>
              <w:top w:val="single" w:sz="4" w:space="0" w:color="000000"/>
              <w:start w:val="single" w:sz="4" w:space="0" w:color="000000"/>
              <w:bottom w:val="single" w:sz="4" w:space="0" w:color="000000"/>
              <w:end w:val="single" w:sz="4" w:space="0" w:color="000000"/>
            </w:tcBorders>
          </w:tcPr>
          <w:p>
            <w:pPr>
              <w:pStyle w:val="Default"/>
              <w:ind w:hanging="29"/>
              <w:rPr/>
            </w:pPr>
            <w:r>
              <w:rPr/>
              <w:t>Переработка (доработка) ВКР в соответствии с замечаниями и представление ее на кафедру.</w:t>
            </w:r>
          </w:p>
        </w:tc>
        <w:tc>
          <w:tcPr>
            <w:tcW w:w="2551"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rHeight w:val="327" w:hRule="atLeast"/>
        </w:trPr>
        <w:tc>
          <w:tcPr>
            <w:tcW w:w="5612" w:type="dxa"/>
            <w:tcBorders>
              <w:top w:val="single" w:sz="4" w:space="0" w:color="000000"/>
              <w:start w:val="single" w:sz="4" w:space="0" w:color="000000"/>
              <w:bottom w:val="single" w:sz="4" w:space="0" w:color="000000"/>
              <w:end w:val="single" w:sz="4" w:space="0" w:color="000000"/>
            </w:tcBorders>
          </w:tcPr>
          <w:p>
            <w:pPr>
              <w:pStyle w:val="Default"/>
              <w:ind w:hanging="29"/>
              <w:rPr/>
            </w:pPr>
            <w:r>
              <w:rPr/>
              <w:t>Разработка презентации доклада для защиты.</w:t>
            </w:r>
          </w:p>
        </w:tc>
        <w:tc>
          <w:tcPr>
            <w:tcW w:w="2551"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12" w:type="dxa"/>
            <w:tcBorders>
              <w:top w:val="single" w:sz="4" w:space="0" w:color="000000"/>
              <w:start w:val="single" w:sz="4" w:space="0" w:color="000000"/>
              <w:bottom w:val="single" w:sz="4" w:space="0" w:color="000000"/>
              <w:end w:val="single" w:sz="4" w:space="0" w:color="000000"/>
            </w:tcBorders>
          </w:tcPr>
          <w:p>
            <w:pPr>
              <w:pStyle w:val="Default"/>
              <w:ind w:hanging="29"/>
              <w:rPr/>
            </w:pPr>
            <w:r>
              <w:rPr/>
              <w:t>Завершение подготовки к защите с учетом отзыва руководителя</w:t>
            </w:r>
          </w:p>
        </w:tc>
        <w:tc>
          <w:tcPr>
            <w:tcW w:w="2551"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bl>
    <w:p>
      <w:pPr>
        <w:pStyle w:val="Normal"/>
        <w:spacing w:lineRule="auto" w:line="240"/>
        <w:rPr>
          <w:rFonts w:ascii="Times New Roman" w:hAnsi="Times New Roman"/>
        </w:rPr>
      </w:pPr>
      <w:r>
        <w:rPr>
          <w:rFonts w:ascii="Times New Roman" w:hAnsi="Times New Roman"/>
        </w:rPr>
      </w:r>
    </w:p>
    <w:p>
      <w:pPr>
        <w:pStyle w:val="Normal"/>
        <w:spacing w:lineRule="auto" w:line="240"/>
        <w:rPr>
          <w:rFonts w:ascii="Times New Roman" w:hAnsi="Times New Roman"/>
        </w:rPr>
      </w:pPr>
      <w:r>
        <w:rPr>
          <w:rFonts w:ascii="Times New Roman" w:hAnsi="Times New Roman"/>
        </w:rPr>
      </w:r>
    </w:p>
    <w:p>
      <w:pPr>
        <w:pStyle w:val="Normal"/>
        <w:spacing w:lineRule="auto" w:line="240"/>
        <w:rPr>
          <w:rFonts w:ascii="Times New Roman" w:hAnsi="Times New Roman"/>
          <w:sz w:val="28"/>
          <w:szCs w:val="28"/>
        </w:rPr>
      </w:pPr>
      <w:r>
        <w:rPr>
          <w:rFonts w:ascii="Times New Roman" w:hAnsi="Times New Roman"/>
          <w:sz w:val="28"/>
          <w:szCs w:val="28"/>
        </w:rPr>
        <w:t xml:space="preserve">Студент </w:t>
        <w:tab/>
        <w:tab/>
        <w:t xml:space="preserve">_______________________ </w:t>
        <w:tab/>
        <w:t>Остапов В.Р.</w:t>
      </w:r>
    </w:p>
    <w:p>
      <w:pPr>
        <w:pStyle w:val="Normal"/>
        <w:spacing w:lineRule="auto" w:line="240"/>
        <w:ind w:firstLine="3402"/>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rPr>
          <w:rFonts w:ascii="Times New Roman" w:hAnsi="Times New Roman"/>
          <w:sz w:val="28"/>
          <w:szCs w:val="28"/>
        </w:rPr>
      </w:pPr>
      <w:r>
        <w:rPr>
          <w:rFonts w:ascii="Times New Roman" w:hAnsi="Times New Roman"/>
          <w:sz w:val="28"/>
          <w:szCs w:val="28"/>
        </w:rPr>
        <w:t xml:space="preserve">Научный </w:t>
      </w:r>
    </w:p>
    <w:p>
      <w:pPr>
        <w:pStyle w:val="Normal"/>
        <w:spacing w:lineRule="auto" w:line="240"/>
        <w:rPr/>
      </w:pPr>
      <w:r>
        <w:rPr>
          <w:rFonts w:ascii="Times New Roman" w:hAnsi="Times New Roman"/>
          <w:sz w:val="28"/>
          <w:szCs w:val="28"/>
        </w:rPr>
        <w:t xml:space="preserve">руководитель ВКР </w:t>
        <w:tab/>
        <w:t xml:space="preserve">_______________________ </w:t>
        <w:tab/>
        <w:t>Донцов В.М.</w:t>
      </w:r>
      <w:r>
        <w:br w:type="page"/>
      </w:r>
    </w:p>
    <w:p>
      <w:pPr>
        <w:pStyle w:val="Normal"/>
        <w:spacing w:lineRule="auto" w:line="240" w:before="0" w:after="0"/>
        <w:ind w:hanging="0"/>
        <w:rPr/>
      </w:pPr>
      <w:r>
        <w:rPr/>
      </w:r>
    </w:p>
    <w:p>
      <w:pPr>
        <w:pStyle w:val="Normal"/>
        <w:spacing w:lineRule="auto" w:line="240"/>
        <w:jc w:val="center"/>
        <w:rPr>
          <w:rFonts w:ascii="Times New Roman" w:hAnsi="Times New Roman"/>
          <w:b/>
          <w:sz w:val="26"/>
          <w:szCs w:val="26"/>
        </w:rPr>
      </w:pPr>
      <w:r>
        <mc:AlternateContent>
          <mc:Choice Requires="wps">
            <w:drawing>
              <wp:anchor behindDoc="0" distT="5080" distB="5080" distL="5080" distR="5080" simplePos="0" locked="0" layoutInCell="1" allowOverlap="1" relativeHeight="88">
                <wp:simplePos x="0" y="0"/>
                <wp:positionH relativeFrom="column">
                  <wp:posOffset>2596515</wp:posOffset>
                </wp:positionH>
                <wp:positionV relativeFrom="paragraph">
                  <wp:posOffset>-415925</wp:posOffset>
                </wp:positionV>
                <wp:extent cx="1257300" cy="352425"/>
                <wp:effectExtent l="5080" t="5080" r="5080" b="5080"/>
                <wp:wrapNone/>
                <wp:docPr id="10" name="Прямоугольник 33"/>
                <a:graphic xmlns:a="http://schemas.openxmlformats.org/drawingml/2006/main">
                  <a:graphicData uri="http://schemas.microsoft.com/office/word/2010/wordprocessingShape">
                    <wps:wsp>
                      <wps:cNvSpPr/>
                      <wps:spPr>
                        <a:xfrm>
                          <a:off x="0" y="0"/>
                          <a:ext cx="1257480" cy="352440"/>
                        </a:xfrm>
                        <a:prstGeom prst="rect">
                          <a:avLst/>
                        </a:prstGeom>
                        <a:solidFill>
                          <a:srgbClr val="ffffff"/>
                        </a:solidFill>
                        <a:ln w="9360">
                          <a:solidFill>
                            <a:srgbClr val="ffffff"/>
                          </a:solidFill>
                          <a:round/>
                        </a:ln>
                      </wps:spPr>
                      <wps:style>
                        <a:lnRef idx="0"/>
                        <a:fillRef idx="0"/>
                        <a:effectRef idx="0"/>
                        <a:fontRef idx="minor"/>
                      </wps:style>
                      <wps:bodyPr/>
                    </wps:wsp>
                  </a:graphicData>
                </a:graphic>
              </wp:anchor>
            </w:drawing>
          </mc:Choice>
          <mc:Fallback>
            <w:pict>
              <v:rect id="shape_0" ID="Прямоугольник 33" path="m0,0l-2147483645,0l-2147483645,-2147483646l0,-2147483646xe" fillcolor="white" stroked="t" o:allowincell="f" style="position:absolute;margin-left:204.45pt;margin-top:-32.75pt;width:98.95pt;height:27.7pt;mso-wrap-style:none;v-text-anchor:middle">
                <v:fill o:detectmouseclick="t" type="solid" color2="black"/>
                <v:stroke color="white" weight="9360" joinstyle="round" endcap="flat"/>
                <w10:wrap type="none"/>
              </v:rect>
            </w:pict>
          </mc:Fallback>
        </mc:AlternateContent>
      </w:r>
      <w:r>
        <w:rPr>
          <w:rFonts w:ascii="Times New Roman" w:hAnsi="Times New Roman"/>
          <w:b/>
          <w:sz w:val="26"/>
          <w:szCs w:val="26"/>
        </w:rPr>
        <w:t>ОТЗЫВ РУКОВОДИТЕЛЯ ПРАКТИКИ</w:t>
      </w:r>
    </w:p>
    <w:p>
      <w:pPr>
        <w:pStyle w:val="Normal"/>
        <w:spacing w:lineRule="auto" w:line="240"/>
        <w:jc w:val="center"/>
        <w:rPr>
          <w:rFonts w:ascii="Times New Roman" w:hAnsi="Times New Roman"/>
          <w:b/>
          <w:sz w:val="26"/>
          <w:szCs w:val="26"/>
        </w:rPr>
      </w:pPr>
      <w:r>
        <w:rPr>
          <w:rFonts w:ascii="Times New Roman" w:hAnsi="Times New Roman"/>
          <w:b/>
          <w:sz w:val="26"/>
          <w:szCs w:val="26"/>
        </w:rPr>
        <w:t>О ПРОХОЖДЕНИИ ПРАКТИКИ</w:t>
      </w:r>
    </w:p>
    <w:p>
      <w:pPr>
        <w:pStyle w:val="Normal"/>
        <w:spacing w:lineRule="auto" w:line="240"/>
        <w:rPr>
          <w:rFonts w:ascii="Times New Roman" w:hAnsi="Times New Roman"/>
          <w:b/>
          <w:sz w:val="26"/>
          <w:szCs w:val="26"/>
        </w:rPr>
      </w:pPr>
      <w:r>
        <w:rPr>
          <w:rFonts w:ascii="Times New Roman" w:hAnsi="Times New Roman"/>
          <w:b/>
          <w:sz w:val="26"/>
          <w:szCs w:val="26"/>
        </w:rPr>
      </w:r>
    </w:p>
    <w:p>
      <w:pPr>
        <w:pStyle w:val="Normal"/>
        <w:spacing w:lineRule="auto" w:line="240"/>
        <w:rPr>
          <w:rFonts w:ascii="Times New Roman" w:hAnsi="Times New Roman"/>
          <w:sz w:val="26"/>
          <w:szCs w:val="26"/>
        </w:rPr>
      </w:pPr>
      <w:r>
        <w:rPr>
          <w:rFonts w:ascii="Times New Roman" w:hAnsi="Times New Roman"/>
          <w:sz w:val="26"/>
          <w:szCs w:val="26"/>
        </w:rPr>
      </w:r>
    </w:p>
    <w:p>
      <w:pPr>
        <w:pStyle w:val="Normal"/>
        <w:spacing w:lineRule="auto" w:line="240"/>
        <w:ind w:firstLine="740" w:start="-31" w:end="-79"/>
        <w:rPr/>
      </w:pPr>
      <w:r>
        <w:rPr>
          <w:rFonts w:ascii="Times New Roman" w:hAnsi="Times New Roman"/>
          <w:sz w:val="26"/>
          <w:szCs w:val="26"/>
        </w:rPr>
        <w:t>Студент 2 курса, направления подготовки 11.04.03 Конструирование и технология электронных средств Остапов Владислав Русланович проходил производственную практику (преддипломную практику) в Молодежном студенческом конструкторском бюро «Электронные технологии» ФГБОУ ВО «Орловский государственный университет имени И.С.Тургенева» с 08 апреля 2026г по 21 мая 2026 г  под руководством доцента кафедры ЭРиСС Донцов В.М.</w:t>
      </w:r>
    </w:p>
    <w:p>
      <w:pPr>
        <w:pStyle w:val="Normal"/>
        <w:spacing w:lineRule="auto" w:line="240"/>
        <w:rPr/>
      </w:pPr>
      <w:r>
        <w:rPr>
          <w:rFonts w:ascii="Times New Roman" w:hAnsi="Times New Roman"/>
          <w:sz w:val="26"/>
          <w:szCs w:val="26"/>
        </w:rPr>
        <w:t>За время практики студент-практикант выполнила анализ состояния проблемы, предложены способы решения проблемы, проведена проверка и подтверждение результатов исследования в соответствии с темой выпускной квалификационной работы.</w:t>
      </w:r>
    </w:p>
    <w:p>
      <w:pPr>
        <w:pStyle w:val="Normal"/>
        <w:spacing w:lineRule="auto" w:line="240"/>
        <w:rPr>
          <w:rFonts w:ascii="Times New Roman" w:hAnsi="Times New Roman"/>
          <w:sz w:val="26"/>
          <w:szCs w:val="26"/>
        </w:rPr>
      </w:pPr>
      <w:r>
        <w:rPr>
          <w:rFonts w:ascii="Times New Roman" w:hAnsi="Times New Roman"/>
          <w:sz w:val="26"/>
          <w:szCs w:val="26"/>
        </w:rPr>
        <w:t>Умения и навыки, закрепленные в процессе практики</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осуществлять критический анализ проблемных ситуаций на основе системного подхода, вырабатывать стратегию действий;</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управлять проектом на всех этапах его жизненного цикла;</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организовывать и руководить работой команды, вырабатывая командную стратегию для достижения поставленной цели;</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применять современные коммуникативные технологии, в том числе на иностранном(ых) языке(ах), для академического и профессионального взаимодействия;</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анализировать и учитывать разнообразие культур в процессе межкультурного взаимодействия;</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определять и реализовывать приоритеты собственной деятельности и способы ее совершенствования на основе самооценки;</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представлять современную научную картину мира, выявлять естественнонаучную сущность проблем, определять пути их решения и оценивать эффективность сделанного выбора;</w:t>
      </w:r>
    </w:p>
    <w:p>
      <w:pPr>
        <w:pStyle w:val="ConsPlusNormal"/>
        <w:ind w:firstLine="709"/>
        <w:jc w:val="both"/>
        <w:rPr>
          <w:rFonts w:ascii="Times New Roman" w:hAnsi="Times New Roman" w:cs="Times New Roman"/>
          <w:sz w:val="26"/>
          <w:szCs w:val="26"/>
          <w:lang w:eastAsia="en-US"/>
        </w:rPr>
      </w:pPr>
      <w:r>
        <w:rPr>
          <w:rFonts w:cs="Times New Roman" w:ascii="Times New Roman" w:hAnsi="Times New Roman"/>
          <w:sz w:val="26"/>
          <w:szCs w:val="26"/>
          <w:lang w:eastAsia="en-US"/>
        </w:rPr>
        <w:t xml:space="preserve">– </w:t>
      </w:r>
      <w:r>
        <w:rPr>
          <w:rFonts w:cs="Times New Roman" w:ascii="Times New Roman" w:hAnsi="Times New Roman"/>
          <w:sz w:val="26"/>
          <w:szCs w:val="26"/>
          <w:lang w:eastAsia="en-US"/>
        </w:rPr>
        <w:t>способность применять современные методы исследования, представлять и аргументировано защищать результаты выполненной работы;</w:t>
      </w:r>
    </w:p>
    <w:p>
      <w:pPr>
        <w:pStyle w:val="ConsPlusNormal"/>
        <w:ind w:firstLine="709"/>
        <w:jc w:val="both"/>
        <w:rPr>
          <w:rFonts w:ascii="Times New Roman" w:hAnsi="Times New Roman" w:cs="Times New Roman"/>
          <w:sz w:val="26"/>
          <w:szCs w:val="26"/>
          <w:lang w:eastAsia="en-US"/>
        </w:rPr>
      </w:pPr>
      <w:r>
        <w:rPr>
          <w:rFonts w:cs="Times New Roman" w:ascii="Times New Roman" w:hAnsi="Times New Roman"/>
          <w:sz w:val="26"/>
          <w:szCs w:val="26"/>
          <w:lang w:eastAsia="en-US"/>
        </w:rPr>
        <w:t xml:space="preserve">– </w:t>
      </w:r>
      <w:r>
        <w:rPr>
          <w:rFonts w:cs="Times New Roman" w:ascii="Times New Roman" w:hAnsi="Times New Roman"/>
          <w:sz w:val="26"/>
          <w:szCs w:val="26"/>
          <w:lang w:eastAsia="en-US"/>
        </w:rPr>
        <w:t>способность приобретать и использовать новую информацию в своей предметной области, предлагать новые идеи и подходы к решению инженерных задач;</w:t>
      </w:r>
    </w:p>
    <w:p>
      <w:pPr>
        <w:pStyle w:val="Normal"/>
        <w:spacing w:lineRule="auto" w:line="240"/>
        <w:rPr/>
      </w:pPr>
      <w:r>
        <w:rPr>
          <w:rFonts w:ascii="Times New Roman" w:hAnsi="Times New Roman"/>
          <w:sz w:val="26"/>
          <w:szCs w:val="26"/>
        </w:rPr>
        <w:t xml:space="preserve">– </w:t>
      </w:r>
      <w:r>
        <w:rPr>
          <w:rFonts w:ascii="Times New Roman" w:hAnsi="Times New Roman"/>
          <w:sz w:val="26"/>
          <w:szCs w:val="26"/>
        </w:rPr>
        <w:t>способность разрабатывать и применять специализированное программно-математическое обеспечение для проведения исследований и решения инженерных задач.</w:t>
      </w:r>
    </w:p>
    <w:p>
      <w:pPr>
        <w:pStyle w:val="Normal"/>
        <w:spacing w:lineRule="auto" w:line="240"/>
        <w:rPr>
          <w:rFonts w:ascii="Times New Roman" w:hAnsi="Times New Roman"/>
          <w:sz w:val="26"/>
          <w:szCs w:val="26"/>
        </w:rPr>
      </w:pPr>
      <w:r>
        <w:rPr>
          <w:rFonts w:ascii="Times New Roman" w:hAnsi="Times New Roman"/>
          <w:sz w:val="26"/>
          <w:szCs w:val="26"/>
        </w:rPr>
        <w:t>В целом индивидуальное задание руководителя выполнено добросовестно в полном объеме, в установленные сроки; в соответствии с требованиями заполнен дневник и подготовлен отчет по производственной практике (научно-проектной практике).</w:t>
      </w:r>
    </w:p>
    <w:p>
      <w:pPr>
        <w:pStyle w:val="Normal"/>
        <w:spacing w:lineRule="auto" w:line="240"/>
        <w:jc w:val="center"/>
        <w:rPr>
          <w:rFonts w:ascii="Times New Roman" w:hAnsi="Times New Roman"/>
          <w:sz w:val="26"/>
          <w:szCs w:val="26"/>
        </w:rPr>
      </w:pPr>
      <w:r>
        <w:rPr>
          <w:rFonts w:ascii="Times New Roman" w:hAnsi="Times New Roman"/>
          <w:sz w:val="26"/>
          <w:szCs w:val="26"/>
        </w:rPr>
      </w:r>
    </w:p>
    <w:p>
      <w:pPr>
        <w:pStyle w:val="Normal"/>
        <w:spacing w:lineRule="auto" w:line="240"/>
        <w:jc w:val="center"/>
        <w:rPr/>
      </w:pPr>
      <w:r>
        <w:rPr>
          <w:rFonts w:ascii="Times New Roman" w:hAnsi="Times New Roman"/>
          <w:sz w:val="26"/>
          <w:szCs w:val="26"/>
        </w:rPr>
        <w:t>Руководитель практики</w:t>
        <w:tab/>
        <w:t xml:space="preserve">                    Донцов В.М.</w:t>
      </w:r>
    </w:p>
    <w:p>
      <w:pPr>
        <w:pStyle w:val="Normal"/>
        <w:spacing w:lineRule="auto" w:line="240"/>
        <w:jc w:val="center"/>
        <w:rPr>
          <w:rFonts w:ascii="Times New Roman" w:hAnsi="Times New Roman"/>
          <w:sz w:val="26"/>
          <w:szCs w:val="26"/>
        </w:rPr>
      </w:pPr>
      <w:r>
        <w:rPr>
          <w:rFonts w:ascii="Times New Roman" w:hAnsi="Times New Roman"/>
          <w:sz w:val="26"/>
          <w:szCs w:val="26"/>
        </w:rPr>
      </w:r>
    </w:p>
    <w:p>
      <w:pPr>
        <w:pStyle w:val="Normal"/>
        <w:spacing w:lineRule="auto" w:line="240"/>
        <w:jc w:val="center"/>
        <w:rPr/>
      </w:pPr>
      <w:r>
        <w:rPr>
          <w:rFonts w:ascii="Times New Roman" w:hAnsi="Times New Roman"/>
          <w:sz w:val="26"/>
          <w:szCs w:val="26"/>
        </w:rPr>
        <w:t>«</w:t>
      </w:r>
      <w:r>
        <w:rPr>
          <w:rFonts w:ascii="Times New Roman" w:hAnsi="Times New Roman"/>
          <w:sz w:val="26"/>
          <w:szCs w:val="26"/>
          <w:u w:val="single"/>
        </w:rPr>
        <w:t xml:space="preserve">     </w:t>
      </w:r>
      <w:r>
        <w:rPr>
          <w:rFonts w:ascii="Times New Roman" w:hAnsi="Times New Roman"/>
          <w:sz w:val="26"/>
          <w:szCs w:val="26"/>
        </w:rPr>
        <w:t>»</w:t>
      </w:r>
      <w:r>
        <w:rPr>
          <w:rFonts w:ascii="Times New Roman" w:hAnsi="Times New Roman"/>
          <w:sz w:val="26"/>
          <w:szCs w:val="26"/>
          <w:u w:val="single"/>
        </w:rPr>
        <w:t xml:space="preserve">             </w:t>
      </w:r>
      <w:r>
        <w:rPr>
          <w:rFonts w:ascii="Times New Roman" w:hAnsi="Times New Roman"/>
          <w:sz w:val="26"/>
          <w:szCs w:val="26"/>
        </w:rPr>
        <w:t>2026г</w:t>
      </w:r>
    </w:p>
    <w:p>
      <w:pPr>
        <w:pStyle w:val="Normal"/>
        <w:tabs>
          <w:tab w:val="clear" w:pos="708"/>
          <w:tab w:val="left" w:pos="8910" w:leader="none"/>
        </w:tabs>
        <w:spacing w:lineRule="auto" w:line="240"/>
        <w:jc w:val="center"/>
        <w:rPr>
          <w:rFonts w:ascii="Times New Roman CYR" w:hAnsi="Times New Roman CYR" w:cs="Times New Roman CYR"/>
          <w:sz w:val="23"/>
          <w:szCs w:val="23"/>
          <w:lang w:val="en-US"/>
        </w:rPr>
      </w:pPr>
      <w:r>
        <w:rPr>
          <w:rFonts w:cs="Times New Roman CYR" w:ascii="Times New Roman CYR" w:hAnsi="Times New Roman CYR"/>
          <w:sz w:val="23"/>
          <w:szCs w:val="23"/>
          <w:lang w:val="en-US"/>
        </w:rPr>
      </w:r>
    </w:p>
    <w:sectPr>
      <w:headerReference w:type="default" r:id="rId15"/>
      <w:headerReference w:type="first" r:id="rId16"/>
      <w:footerReference w:type="default" r:id="rId17"/>
      <w:footerReference w:type="first" r:id="rId18"/>
      <w:type w:val="nextPage"/>
      <w:pgSz w:w="11906" w:h="16838"/>
      <w:pgMar w:left="1701" w:right="850" w:gutter="0" w:header="708" w:top="1134" w:footer="708" w:bottom="1134"/>
      <w:pgNumType w:start="5"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Times New Roman">
    <w:charset w:val="01" w:characterSet="utf-8"/>
    <w:family w:val="roman"/>
    <w:pitch w:val="variable"/>
  </w:font>
  <w:font w:name="Tahoma">
    <w:charset w:val="01" w:characterSet="utf-8"/>
    <w:family w:val="roman"/>
    <w:pitch w:val="variable"/>
  </w:font>
  <w:font w:name="Calibri Light">
    <w:charset w:val="01" w:characterSet="utf-8"/>
    <w:family w:val="roman"/>
    <w:pitch w:val="variable"/>
  </w:font>
  <w:font w:name="Consolas">
    <w:charset w:val="01" w:characterSet="utf-8"/>
    <w:family w:val="roman"/>
    <w:pitch w:val="variable"/>
  </w:font>
  <w:font w:name="Liberation Sans">
    <w:altName w:val="Arial"/>
    <w:charset w:val="01" w:characterSet="utf-8"/>
    <w:family w:val="roman"/>
    <w:pitch w:val="variable"/>
  </w:font>
  <w:font w:name="Aptos">
    <w:charset w:val="01" w:characterSet="utf-8"/>
    <w:family w:val="roman"/>
    <w:pitch w:val="variable"/>
  </w:font>
  <w:font w:name="Arial">
    <w:charset w:val="01" w:characterSet="utf-8"/>
    <w:family w:val="roman"/>
    <w:pitch w:val="variable"/>
  </w:font>
  <w:font w:name="Times New Roman CYR">
    <w:charset w:val="01" w:characterSet="utf-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pPr>
    <w:r>
      <w:rPr/>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pPr>
    <w:r>
      <w:rPr/>
    </w:r>
  </w:p>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0" distL="0" distR="0" simplePos="0" locked="0" layoutInCell="0" allowOverlap="1" relativeHeight="2">
              <wp:simplePos x="0" y="0"/>
              <wp:positionH relativeFrom="margin">
                <wp:align>center</wp:align>
              </wp:positionH>
              <wp:positionV relativeFrom="paragraph">
                <wp:posOffset>635</wp:posOffset>
              </wp:positionV>
              <wp:extent cx="14605" cy="14605"/>
              <wp:effectExtent l="0" t="0" r="0" b="0"/>
              <wp:wrapNone/>
              <wp:docPr id="2" name="Frame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Frame1" path="m0,0l-2147483645,0l-2147483645,-2147483646l0,-2147483646xe" stroked="f" o:allowincell="f" style="position:absolute;margin-left:0pt;margin-top:0.05pt;width:1.1pt;height:1.1pt;mso-wrap-style:square;v-text-anchor:top;mso-position-horizontal:center;mso-position-horizontal-relative:margin">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non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rPr/>
    </w:pPr>
    <w:r>
      <w:rPr/>
      <mc:AlternateContent>
        <mc:Choice Requires="wps">
          <w:drawing>
            <wp:anchor behindDoc="1" distT="0" distB="0" distL="0" distR="0" simplePos="0" locked="0" layoutInCell="0" allowOverlap="1" relativeHeight="80">
              <wp:simplePos x="0" y="0"/>
              <wp:positionH relativeFrom="margin">
                <wp:align>center</wp:align>
              </wp:positionH>
              <wp:positionV relativeFrom="paragraph">
                <wp:posOffset>635</wp:posOffset>
              </wp:positionV>
              <wp:extent cx="579755" cy="153670"/>
              <wp:effectExtent l="0" t="0" r="0" b="0"/>
              <wp:wrapNone/>
              <wp:docPr id="11" name="Frame2"/>
              <a:graphic xmlns:a="http://schemas.openxmlformats.org/drawingml/2006/main">
                <a:graphicData uri="http://schemas.microsoft.com/office/word/2010/wordprocessingShape">
                  <wps:wsp>
                    <wps:cNvSpPr/>
                    <wps:spPr>
                      <a:xfrm>
                        <a:off x="0" y="0"/>
                        <a:ext cx="579600" cy="15372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44</w:t>
                          </w:r>
                          <w:r>
                            <w:rPr>
                              <w:rStyle w:val="PageNumber"/>
                              <w:color w:val="000000"/>
                            </w:rPr>
                            <w:fldChar w:fldCharType="end"/>
                          </w:r>
                        </w:p>
                      </w:txbxContent>
                    </wps:txbx>
                    <wps:bodyPr lIns="0" rIns="0" tIns="0" bIns="0" anchor="t">
                      <a:spAutoFit/>
                    </wps:bodyPr>
                  </wps:wsp>
                </a:graphicData>
              </a:graphic>
            </wp:anchor>
          </w:drawing>
        </mc:Choice>
        <mc:Fallback>
          <w:pict>
            <v:rect id="shape_0" ID="Frame2" path="m0,0l-2147483645,0l-2147483645,-2147483646l0,-2147483646xe" stroked="f" o:allowincell="f" style="position:absolute;margin-left:211pt;margin-top:0.05pt;width:45.6pt;height:12.05pt;mso-wrap-style:square;v-text-anchor:top;mso-position-horizontal:center;mso-position-horizontal-relative:margin">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44</w:t>
                    </w:r>
                    <w:r>
                      <w:rPr>
                        <w:rStyle w:val="PageNumber"/>
                        <w:color w:val="000000"/>
                      </w:rPr>
                      <w:fldChar w:fldCharType="end"/>
                    </w:r>
                  </w:p>
                </w:txbxContent>
              </v:textbox>
              <w10:wrap type="none"/>
            </v:rect>
          </w:pict>
        </mc:Fallback>
      </mc:AlternateConten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0" w:hanging="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2">
    <w:lvl w:ilvl="0">
      <w:start w:val="1"/>
      <w:numFmt w:val="decimal"/>
      <w:lvlText w:val="%1."/>
      <w:lvlJc w:val="start"/>
      <w:pPr>
        <w:tabs>
          <w:tab w:val="num" w:pos="0"/>
        </w:tabs>
        <w:ind w:start="502" w:hanging="360"/>
      </w:pPr>
      <w:rPr>
        <w:rFonts w:cs="Times New Roman"/>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44"/>
  <w:defaultTabStop w:val="708"/>
  <w:autoHyphenation w:val="true"/>
  <w:compat>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360" w:before="0" w:after="0"/>
      <w:ind w:firstLine="709"/>
      <w:jc w:val="both"/>
    </w:pPr>
    <w:rPr>
      <w:rFonts w:ascii="Calibri" w:hAnsi="Calibri" w:eastAsia="Times New Roman" w:cs="Times New Roman"/>
      <w:color w:val="auto"/>
      <w:kern w:val="0"/>
      <w:sz w:val="22"/>
      <w:szCs w:val="22"/>
      <w:lang w:val="ru-RU" w:eastAsia="zh-CN" w:bidi="ar-SA"/>
    </w:rPr>
  </w:style>
  <w:style w:type="paragraph" w:styleId="Heading1">
    <w:name w:val="Heading 1"/>
    <w:basedOn w:val="Normal"/>
    <w:next w:val="BodyText"/>
    <w:autoRedefine/>
    <w:uiPriority w:val="9"/>
    <w:qFormat/>
    <w:rsid w:val="00784590"/>
    <w:pPr>
      <w:keepNext w:val="true"/>
      <w:keepLines/>
      <w:numPr>
        <w:ilvl w:val="0"/>
        <w:numId w:val="1"/>
      </w:numPr>
      <w:spacing w:before="480" w:after="0"/>
      <w:ind w:firstLine="709"/>
      <w:jc w:val="start"/>
      <w:outlineLvl w:val="0"/>
    </w:pPr>
    <w:rPr>
      <w:rFonts w:ascii="Times New Roman" w:hAnsi="Times New Roman" w:eastAsia="Calibri" w:cs="Calibri Light"/>
      <w:b/>
      <w:bCs/>
      <w:sz w:val="28"/>
      <w:szCs w:val="28"/>
    </w:rPr>
  </w:style>
  <w:style w:type="paragraph" w:styleId="Heading2">
    <w:name w:val="Heading 2"/>
    <w:basedOn w:val="Normal"/>
    <w:next w:val="BodyText"/>
    <w:link w:val="2"/>
    <w:autoRedefine/>
    <w:uiPriority w:val="9"/>
    <w:unhideWhenUsed/>
    <w:qFormat/>
    <w:rsid w:val="00d64774"/>
    <w:pPr>
      <w:keepNext w:val="true"/>
      <w:spacing w:before="160" w:after="0"/>
      <w:jc w:val="start"/>
      <w:outlineLvl w:val="1"/>
    </w:pPr>
    <w:rPr>
      <w:rFonts w:ascii="Times New Roman" w:hAnsi="Times New Roman"/>
      <w:b/>
      <w:bCs/>
      <w:iCs/>
      <w:sz w:val="28"/>
      <w:szCs w:val="28"/>
    </w:rPr>
  </w:style>
  <w:style w:type="paragraph" w:styleId="Heading3">
    <w:name w:val="Heading 3"/>
    <w:basedOn w:val="Normal"/>
    <w:next w:val="Normal"/>
    <w:link w:val="3"/>
    <w:uiPriority w:val="9"/>
    <w:semiHidden/>
    <w:unhideWhenUsed/>
    <w:qFormat/>
    <w:rsid w:val="00093e11"/>
    <w:pPr>
      <w:keepNext w:val="true"/>
      <w:spacing w:before="240" w:after="60"/>
      <w:jc w:val="start"/>
      <w:outlineLvl w:val="2"/>
    </w:pPr>
    <w:rPr>
      <w:rFonts w:ascii="Times New Roman" w:hAnsi="Times New Roman"/>
      <w:b/>
      <w:bCs/>
      <w:sz w:val="28"/>
      <w:szCs w:val="26"/>
    </w:rPr>
  </w:style>
  <w:style w:type="paragraph" w:styleId="Heading4">
    <w:name w:val="Heading 4"/>
    <w:basedOn w:val="Normal"/>
    <w:next w:val="Normal"/>
    <w:uiPriority w:val="9"/>
    <w:semiHidden/>
    <w:unhideWhenUsed/>
    <w:qFormat/>
    <w:pPr>
      <w:keepNext w:val="true"/>
      <w:numPr>
        <w:ilvl w:val="3"/>
        <w:numId w:val="1"/>
      </w:numPr>
      <w:spacing w:lineRule="auto" w:line="276" w:before="0" w:after="200"/>
      <w:jc w:val="start"/>
      <w:outlineLvl w:val="3"/>
    </w:pPr>
    <w:rPr>
      <w:rFonts w:eastAsia="Calibri"/>
      <w:b/>
      <w:bCs/>
      <w:sz w:val="20"/>
      <w:szCs w:val="20"/>
    </w:rPr>
  </w:style>
  <w:style w:type="paragraph" w:styleId="Heading5">
    <w:name w:val="Heading 5"/>
    <w:basedOn w:val="Normal"/>
    <w:next w:val="Normal"/>
    <w:uiPriority w:val="9"/>
    <w:semiHidden/>
    <w:unhideWhenUsed/>
    <w:qFormat/>
    <w:pPr>
      <w:numPr>
        <w:ilvl w:val="4"/>
        <w:numId w:val="1"/>
      </w:numPr>
      <w:spacing w:before="240" w:after="60"/>
      <w:outlineLvl w:val="4"/>
    </w:pPr>
    <w:rPr>
      <w:b/>
      <w:bCs/>
      <w:i/>
      <w:iCs/>
      <w:sz w:val="26"/>
      <w:szCs w:val="26"/>
    </w:rPr>
  </w:style>
  <w:style w:type="character" w:styleId="DefaultParagraphFont" w:default="1">
    <w:name w:val="Default Paragraph Font"/>
    <w:uiPriority w:val="1"/>
    <w:semiHidden/>
    <w:unhideWhenUsed/>
    <w:qFormat/>
    <w:rPr/>
  </w:style>
  <w:style w:type="character" w:styleId="PageNumber">
    <w:name w:val="Page Number"/>
    <w:basedOn w:val="DefaultParagraphFont"/>
    <w:uiPriority w:val="99"/>
    <w:semiHidden/>
    <w:unhideWhenUsed/>
    <w:rsid w:val="00784590"/>
    <w:rPr/>
  </w:style>
  <w:style w:type="character" w:styleId="UnresolvedMention">
    <w:name w:val="Unresolved Mention"/>
    <w:uiPriority w:val="99"/>
    <w:semiHidden/>
    <w:unhideWhenUsed/>
    <w:qFormat/>
    <w:rsid w:val="00093e11"/>
    <w:rPr>
      <w:color w:val="605E5C"/>
      <w:shd w:fill="E1DFDD" w:val="clear"/>
    </w:rPr>
  </w:style>
  <w:style w:type="character" w:styleId="2" w:customStyle="1">
    <w:name w:val="Заголовок 2 Знак"/>
    <w:link w:val="Heading2"/>
    <w:uiPriority w:val="9"/>
    <w:qFormat/>
    <w:rsid w:val="00d64774"/>
    <w:rPr>
      <w:rFonts w:ascii="Times New Roman" w:hAnsi="Times New Roman" w:eastAsia="Times New Roman" w:cs="Times New Roman"/>
      <w:b/>
      <w:bCs/>
      <w:iCs/>
      <w:sz w:val="28"/>
      <w:szCs w:val="28"/>
      <w:lang w:eastAsia="zh-CN"/>
    </w:rPr>
  </w:style>
  <w:style w:type="character" w:styleId="3" w:customStyle="1">
    <w:name w:val="Заголовок 3 Знак"/>
    <w:link w:val="Heading3"/>
    <w:uiPriority w:val="9"/>
    <w:semiHidden/>
    <w:qFormat/>
    <w:rsid w:val="00093e11"/>
    <w:rPr>
      <w:rFonts w:ascii="Times New Roman" w:hAnsi="Times New Roman" w:eastAsia="Times New Roman" w:cs="Times New Roman"/>
      <w:b/>
      <w:bCs/>
      <w:sz w:val="28"/>
      <w:szCs w:val="26"/>
      <w:lang w:eastAsia="zh-CN"/>
    </w:rPr>
  </w:style>
  <w:style w:type="character" w:styleId="Style9" w:customStyle="1">
    <w:name w:val="Текст выноски Знак"/>
    <w:qFormat/>
    <w:rPr>
      <w:rFonts w:ascii="Tahoma" w:hAnsi="Tahoma" w:cs="Tahoma"/>
      <w:sz w:val="16"/>
      <w:szCs w:val="16"/>
    </w:rPr>
  </w:style>
  <w:style w:type="character" w:styleId="4" w:customStyle="1">
    <w:name w:val="Заголовок 4 Знак"/>
    <w:qFormat/>
    <w:rPr>
      <w:rFonts w:ascii="Calibri" w:hAnsi="Calibri" w:cs="Times New Roman"/>
      <w:b/>
      <w:bCs/>
      <w:sz w:val="20"/>
    </w:rPr>
  </w:style>
  <w:style w:type="character" w:styleId="1" w:customStyle="1">
    <w:name w:val="Заголовок 1 Знак"/>
    <w:qFormat/>
    <w:rPr>
      <w:rFonts w:ascii="Calibri Light" w:hAnsi="Calibri Light" w:cs="Times New Roman"/>
      <w:b/>
      <w:bCs/>
      <w:color w:val="2E74B5"/>
      <w:sz w:val="28"/>
      <w:szCs w:val="28"/>
    </w:rPr>
  </w:style>
  <w:style w:type="character" w:styleId="Style10" w:customStyle="1">
    <w:name w:val="Верхний колонтитул Знак"/>
    <w:qFormat/>
    <w:rPr>
      <w:rFonts w:cs="Times New Roman"/>
    </w:rPr>
  </w:style>
  <w:style w:type="character" w:styleId="Style11" w:customStyle="1">
    <w:name w:val="Нижний колонтитул Знак"/>
    <w:qFormat/>
    <w:rPr>
      <w:rFonts w:cs="Times New Roman"/>
    </w:rPr>
  </w:style>
  <w:style w:type="character" w:styleId="Hyperlink">
    <w:name w:val="Hyperlink"/>
    <w:rPr>
      <w:rFonts w:cs="Times New Roman"/>
      <w:color w:val="0563C1"/>
      <w:u w:val="single"/>
    </w:rPr>
  </w:style>
  <w:style w:type="character" w:styleId="Style12" w:customStyle="1">
    <w:name w:val="Основной текст Знак"/>
    <w:qFormat/>
    <w:rPr>
      <w:lang w:val="ru-RU" w:bidi="ar-SA"/>
    </w:rPr>
  </w:style>
  <w:style w:type="character" w:styleId="Style13" w:customStyle="1">
    <w:name w:val="Текст примечания Знак"/>
    <w:qFormat/>
    <w:rPr>
      <w:rFonts w:eastAsia="Times New Roman"/>
    </w:rPr>
  </w:style>
  <w:style w:type="character" w:styleId="Style14" w:customStyle="1">
    <w:name w:val="Тема примечания Знак"/>
    <w:qFormat/>
    <w:rPr>
      <w:rFonts w:eastAsia="Times New Roman"/>
      <w:b/>
      <w:bCs/>
    </w:rPr>
  </w:style>
  <w:style w:type="character" w:styleId="FontStyle12" w:customStyle="1">
    <w:name w:val="Font Style12"/>
    <w:qFormat/>
    <w:rPr>
      <w:rFonts w:ascii="Times New Roman" w:hAnsi="Times New Roman" w:cs="Times New Roman"/>
      <w:sz w:val="20"/>
      <w:szCs w:val="20"/>
    </w:rPr>
  </w:style>
  <w:style w:type="character" w:styleId="5" w:customStyle="1">
    <w:name w:val="Заголовок 5 Знак"/>
    <w:qFormat/>
    <w:rPr>
      <w:rFonts w:ascii="Calibri" w:hAnsi="Calibri" w:eastAsia="Times New Roman" w:cs="Times New Roman"/>
      <w:b/>
      <w:bCs/>
      <w:i/>
      <w:iCs/>
      <w:sz w:val="26"/>
      <w:szCs w:val="26"/>
    </w:rPr>
  </w:style>
  <w:style w:type="character" w:styleId="biblio-record-text" w:customStyle="1">
    <w:name w:val="biblio-record-text"/>
    <w:basedOn w:val="DefaultParagraphFont"/>
    <w:qFormat/>
    <w:rPr/>
  </w:style>
  <w:style w:type="character" w:styleId="IndexLink" w:customStyle="1">
    <w:name w:val="Index Link"/>
    <w:qFormat/>
    <w:rPr/>
  </w:style>
  <w:style w:type="character" w:styleId="BodyTextChar">
    <w:name w:val="Body Text Char"/>
    <w:basedOn w:val="DefaultParagraphFont"/>
    <w:qFormat/>
    <w:rPr/>
  </w:style>
  <w:style w:type="character" w:styleId="VerbatimChar">
    <w:name w:val="Verbatim Char"/>
    <w:basedOn w:val="BodyTextChar"/>
    <w:qFormat/>
    <w:rPr>
      <w:rFonts w:ascii="Consolas" w:hAnsi="Consolas"/>
      <w:sz w:val="22"/>
    </w:rPr>
  </w:style>
  <w:style w:type="paragraph" w:styleId="Heading" w:customStyle="1">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autoRedefine/>
    <w:qFormat/>
    <w:rsid w:val="00162a34"/>
    <w:pPr>
      <w:widowControl w:val="false"/>
    </w:pPr>
    <w:rPr>
      <w:rFonts w:ascii="Times New Roman" w:hAnsi="Times New Roman" w:eastAsia="Calibri"/>
      <w:sz w:val="28"/>
      <w:szCs w:val="20"/>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customStyle="1">
    <w:name w:val="Index"/>
    <w:basedOn w:val="Normal"/>
    <w:qFormat/>
    <w:pPr>
      <w:suppressLineNumbers/>
    </w:pPr>
    <w:rPr>
      <w:rFonts w:cs="Noto Sans Devanagari"/>
    </w:rPr>
  </w:style>
  <w:style w:type="paragraph" w:styleId="FirstParagraph" w:customStyle="1">
    <w:name w:val="First Paragraph"/>
    <w:basedOn w:val="BodyText"/>
    <w:next w:val="BodyText"/>
    <w:qFormat/>
    <w:rsid w:val="00093e11"/>
    <w:pPr>
      <w:widowControl/>
      <w:suppressAutoHyphens w:val="false"/>
      <w:spacing w:lineRule="auto" w:line="240" w:before="180" w:after="180"/>
      <w:ind w:hanging="0"/>
      <w:jc w:val="start"/>
    </w:pPr>
    <w:rPr>
      <w:rFonts w:ascii="Aptos" w:hAnsi="Aptos" w:eastAsia="Aptos"/>
      <w:sz w:val="24"/>
      <w:szCs w:val="24"/>
      <w:lang w:val="ru-RU" w:eastAsia="en-US"/>
    </w:rPr>
  </w:style>
  <w:style w:type="paragraph" w:styleId="Compact" w:customStyle="1">
    <w:name w:val="Compact"/>
    <w:basedOn w:val="BodyText"/>
    <w:qFormat/>
    <w:rsid w:val="009f1717"/>
    <w:pPr>
      <w:widowControl/>
      <w:suppressAutoHyphens w:val="false"/>
      <w:spacing w:lineRule="auto" w:line="240" w:before="36" w:after="36"/>
      <w:ind w:hanging="0"/>
      <w:jc w:val="start"/>
    </w:pPr>
    <w:rPr>
      <w:rFonts w:ascii="Aptos" w:hAnsi="Aptos" w:eastAsia="Aptos"/>
      <w:sz w:val="24"/>
      <w:szCs w:val="24"/>
      <w:lang w:val="ru-RU" w:eastAsia="en-US"/>
    </w:rPr>
  </w:style>
  <w:style w:type="paragraph" w:styleId="BalloonText">
    <w:name w:val="Balloon Text"/>
    <w:basedOn w:val="Normal"/>
    <w:qFormat/>
    <w:pPr>
      <w:spacing w:lineRule="auto" w:line="240"/>
    </w:pPr>
    <w:rPr>
      <w:rFonts w:ascii="Tahoma" w:hAnsi="Tahoma" w:eastAsia="Calibri" w:cs="Tahoma"/>
      <w:sz w:val="16"/>
      <w:szCs w:val="16"/>
    </w:rPr>
  </w:style>
  <w:style w:type="paragraph" w:styleId="Style15" w:customStyle="1">
    <w:name w:val="Обычный (веб)"/>
    <w:basedOn w:val="Normal"/>
    <w:qFormat/>
    <w:pPr>
      <w:spacing w:lineRule="auto" w:line="240" w:before="280" w:after="280"/>
      <w:ind w:hanging="0"/>
      <w:jc w:val="start"/>
    </w:pPr>
    <w:rPr>
      <w:rFonts w:ascii="Times New Roman" w:hAnsi="Times New Roman"/>
      <w:sz w:val="24"/>
      <w:szCs w:val="24"/>
    </w:rPr>
  </w:style>
  <w:style w:type="paragraph" w:styleId="ListParagraph1" w:customStyle="1">
    <w:name w:val="List Paragraph1"/>
    <w:basedOn w:val="Normal"/>
    <w:qFormat/>
    <w:pPr>
      <w:spacing w:lineRule="auto" w:line="276" w:before="0" w:after="200"/>
      <w:ind w:hanging="0" w:start="720"/>
      <w:jc w:val="start"/>
    </w:pPr>
    <w:rPr>
      <w:rFonts w:eastAsia="Calibri"/>
    </w:rPr>
  </w:style>
  <w:style w:type="paragraph" w:styleId="HeaderandFooter" w:customStyle="1">
    <w:name w:val="Header and Footer"/>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677" w:leader="none"/>
        <w:tab w:val="right" w:pos="9355" w:leader="none"/>
      </w:tabs>
      <w:spacing w:lineRule="auto" w:line="240"/>
    </w:pPr>
    <w:rPr>
      <w:rFonts w:eastAsia="Calibri"/>
      <w:sz w:val="20"/>
      <w:szCs w:val="20"/>
    </w:rPr>
  </w:style>
  <w:style w:type="paragraph" w:styleId="Footer">
    <w:name w:val="Footer"/>
    <w:basedOn w:val="Normal"/>
    <w:pPr>
      <w:tabs>
        <w:tab w:val="clear" w:pos="708"/>
        <w:tab w:val="center" w:pos="4677" w:leader="none"/>
        <w:tab w:val="right" w:pos="9355" w:leader="none"/>
      </w:tabs>
      <w:spacing w:lineRule="auto" w:line="240"/>
    </w:pPr>
    <w:rPr>
      <w:rFonts w:eastAsia="Calibri"/>
      <w:sz w:val="20"/>
      <w:szCs w:val="20"/>
    </w:rPr>
  </w:style>
  <w:style w:type="paragraph" w:styleId="IndexHeading">
    <w:name w:val="Index Heading"/>
    <w:basedOn w:val="Heading"/>
    <w:pPr/>
    <w:rPr/>
  </w:style>
  <w:style w:type="paragraph" w:styleId="TOCHeading">
    <w:name w:val="TOC Heading"/>
    <w:basedOn w:val="Heading1"/>
    <w:next w:val="Normal"/>
    <w:qFormat/>
    <w:pPr>
      <w:numPr>
        <w:ilvl w:val="0"/>
        <w:numId w:val="0"/>
      </w:numPr>
      <w:spacing w:lineRule="auto" w:line="276"/>
      <w:ind w:firstLine="709"/>
      <w:outlineLvl w:val="9"/>
    </w:pPr>
    <w:rPr/>
  </w:style>
  <w:style w:type="paragraph" w:styleId="TOC1">
    <w:name w:val="TOC 1"/>
    <w:basedOn w:val="Normal"/>
    <w:next w:val="Normal"/>
    <w:rsid w:val="00784590"/>
    <w:pPr>
      <w:tabs>
        <w:tab w:val="clear" w:pos="708"/>
        <w:tab w:val="right" w:pos="9345" w:leader="dot"/>
      </w:tabs>
      <w:ind w:hanging="0"/>
    </w:pPr>
    <w:rPr>
      <w:rFonts w:ascii="Times New Roman" w:hAnsi="Times New Roman"/>
      <w:sz w:val="28"/>
    </w:rPr>
  </w:style>
  <w:style w:type="paragraph" w:styleId="ListParagraph">
    <w:name w:val="List Paragraph"/>
    <w:basedOn w:val="Normal"/>
    <w:qFormat/>
    <w:pPr>
      <w:spacing w:lineRule="auto" w:line="276" w:before="0" w:after="200"/>
      <w:ind w:hanging="0" w:start="720"/>
      <w:contextualSpacing/>
      <w:jc w:val="start"/>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Default" w:customStyle="1">
    <w:name w:val="Default"/>
    <w:qFormat/>
    <w:pPr>
      <w:widowControl/>
      <w:suppressAutoHyphens w:val="true"/>
      <w:bidi w:val="0"/>
      <w:spacing w:before="0" w:after="0"/>
      <w:jc w:val="start"/>
    </w:pPr>
    <w:rPr>
      <w:rFonts w:ascii="Times New Roman" w:hAnsi="Times New Roman" w:eastAsia="Calibri" w:cs="Times New Roman"/>
      <w:color w:val="000000"/>
      <w:kern w:val="0"/>
      <w:sz w:val="24"/>
      <w:szCs w:val="24"/>
      <w:lang w:val="ru-RU" w:eastAsia="zh-CN" w:bidi="ar-SA"/>
    </w:rPr>
  </w:style>
  <w:style w:type="paragraph" w:styleId="41" w:customStyle="1">
    <w:name w:val="Основной текст4"/>
    <w:basedOn w:val="Normal"/>
    <w:qFormat/>
    <w:pPr>
      <w:shd w:val="clear" w:color="auto" w:fill="FFFFFF"/>
      <w:spacing w:lineRule="exact" w:line="317" w:before="420" w:after="300"/>
      <w:ind w:hanging="520"/>
      <w:jc w:val="start"/>
    </w:pPr>
    <w:rPr>
      <w:rFonts w:ascii="Times New Roman" w:hAnsi="Times New Roman" w:eastAsia="Arial Unicode MS"/>
      <w:color w:val="00000A"/>
      <w:sz w:val="27"/>
      <w:szCs w:val="20"/>
    </w:rPr>
  </w:style>
  <w:style w:type="paragraph" w:styleId="ConsPlusNormal" w:customStyle="1">
    <w:name w:val="ConsPlusNormal"/>
    <w:qFormat/>
    <w:pPr>
      <w:widowControl w:val="false"/>
      <w:suppressAutoHyphens w:val="true"/>
      <w:bidi w:val="0"/>
      <w:spacing w:before="0" w:after="0"/>
      <w:jc w:val="start"/>
    </w:pPr>
    <w:rPr>
      <w:rFonts w:ascii="Arial" w:hAnsi="Arial" w:eastAsia="Times New Roman" w:cs="Arial"/>
      <w:color w:val="auto"/>
      <w:kern w:val="0"/>
      <w:sz w:val="20"/>
      <w:szCs w:val="20"/>
      <w:lang w:val="ru-RU" w:eastAsia="zh-CN" w:bidi="ar-SA"/>
    </w:rPr>
  </w:style>
  <w:style w:type="paragraph" w:styleId="TableContents" w:customStyle="1">
    <w:name w:val="Table Contents"/>
    <w:basedOn w:val="Normal"/>
    <w:qFormat/>
    <w:pPr>
      <w:widowControl w:val="false"/>
      <w:suppressLineNumbers/>
    </w:pPr>
    <w:rPr/>
  </w:style>
  <w:style w:type="paragraph" w:styleId="TableHeading" w:customStyle="1">
    <w:name w:val="Table Heading"/>
    <w:basedOn w:val="TableContents"/>
    <w:qFormat/>
    <w:pPr>
      <w:jc w:val="center"/>
    </w:pPr>
    <w:rPr>
      <w:b/>
      <w:bCs/>
    </w:rPr>
  </w:style>
  <w:style w:type="paragraph" w:styleId="FrameContents">
    <w:name w:val="Frame Contents"/>
    <w:basedOn w:val="Normal"/>
    <w:qFormat/>
    <w:pPr/>
    <w:rPr/>
  </w:style>
  <w:style w:type="paragraph" w:styleId="SourceCode">
    <w:name w:val="Source Code"/>
    <w:basedOn w:val="Normal"/>
    <w:qFormat/>
    <w:pPr/>
    <w:rPr/>
  </w:style>
  <w:style w:type="paragraph" w:styleId="BodyTextFirstIndent">
    <w:name w:val="Body Text First Indent"/>
    <w:basedOn w:val="BodyText"/>
    <w:pPr>
      <w:ind w:firstLine="283" w:start="0"/>
    </w:pPr>
    <w:rPr/>
  </w:style>
  <w:style w:type="paragraph" w:styleId="TOC2">
    <w:name w:val="TOC 2"/>
    <w:basedOn w:val="Index"/>
    <w:pPr>
      <w:tabs>
        <w:tab w:val="clear" w:pos="708"/>
        <w:tab w:val="right" w:pos="9072" w:leader="dot"/>
      </w:tabs>
      <w:ind w:hanging="0" w:start="0"/>
    </w:pPr>
    <w:rPr>
      <w:rFonts w:ascii="Times New Roman" w:hAnsi="Times New Roman"/>
      <w:sz w:val="28"/>
    </w:rPr>
  </w:style>
  <w:style w:type="numbering" w:styleId="NoList" w:default="1">
    <w:name w:val="No List"/>
    <w:uiPriority w:val="99"/>
    <w:semiHidden/>
    <w:unhideWhenUsed/>
    <w:qFormat/>
  </w:style>
  <w:style w:type="numbering" w:styleId="WW8Num1" w:customStyle="1">
    <w:name w:val="WW8Num1"/>
    <w:qFormat/>
  </w:style>
  <w:style w:type="numbering" w:styleId="WW8Num2" w:customStyle="1">
    <w:name w:val="WW8Num2"/>
    <w:qFormat/>
  </w:style>
  <w:style w:type="table" w:default="1" w:styleId="a2">
    <w:name w:val="Normal Table"/>
    <w:uiPriority w:val="99"/>
    <w:semiHidden/>
    <w:unhideWhenUsed/>
    <w:tblPr>
      <w:tblCellMar>
        <w:top w:w="0" w:type="dxa"/>
        <w:left w:w="108" w:type="dxa"/>
        <w:bottom w:w="0" w:type="dxa"/>
        <w:right w:w="108" w:type="dxa"/>
      </w:tblCellMar>
    </w:tblPr>
  </w:style>
  <w:style w:type="table" w:customStyle="1" w:styleId="Table">
    <w:name w:val="Table"/>
    <w:semiHidden/>
    <w:unhideWhenUsed/>
    <w:qFormat/>
    <w:rsid w:val="008b34df"/>
    <w:pPr>
      <w:spacing w:after="200"/>
    </w:pPr>
    <w:rPr>
      <w:lang w:val="ru" w:eastAsia="en-US"/>
      <w:sz w:val="24"/>
      <w:szCs w:val="24"/>
    </w:rPr>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image" Target="media/image1.png"/><Relationship Id="rId9" Type="http://schemas.openxmlformats.org/officeDocument/2006/relationships/hyperlink" Target="https://e.lanbook.com/book/212054" TargetMode="External"/><Relationship Id="rId10" Type="http://schemas.openxmlformats.org/officeDocument/2006/relationships/hyperlink" Target="https://www.iprbookshop.ru/72577.html" TargetMode="External"/><Relationship Id="rId11" Type="http://schemas.openxmlformats.org/officeDocument/2006/relationships/hyperlink" Target="http://oreluniver.ru/support/education" TargetMode="External"/><Relationship Id="rId12" Type="http://schemas.openxmlformats.org/officeDocument/2006/relationships/hyperlink" Target="http://oreluniver.ru/support/education" TargetMode="External"/><Relationship Id="rId13" Type="http://schemas.openxmlformats.org/officeDocument/2006/relationships/hyperlink" Target="https://elib.oreluniver.ru/m/19d3f6fa-9253-4b83-9a09-daa98a7532dd" TargetMode="External"/><Relationship Id="rId14" Type="http://schemas.openxmlformats.org/officeDocument/2006/relationships/hyperlink" Target="https://studfile.net/preview/7013044/page:2" TargetMode="External"/><Relationship Id="rId15" Type="http://schemas.openxmlformats.org/officeDocument/2006/relationships/header" Target="header4.xml"/><Relationship Id="rId16" Type="http://schemas.openxmlformats.org/officeDocument/2006/relationships/header" Target="header5.xml"/><Relationship Id="rId17" Type="http://schemas.openxmlformats.org/officeDocument/2006/relationships/footer" Target="footer4.xml"/><Relationship Id="rId18" Type="http://schemas.openxmlformats.org/officeDocument/2006/relationships/footer" Target="footer5.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1527</TotalTime>
  <Application>LibreOffice/24.2.7.2$Linux_X86_64 LibreOffice_project/420$Build-2</Application>
  <AppVersion>15.0000</AppVersion>
  <Pages>44</Pages>
  <Words>7789</Words>
  <Characters>56814</Characters>
  <CharactersWithSpaces>64495</CharactersWithSpaces>
  <Paragraphs>569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2026-05-13T01:44:00Z</dcterms:created>
  <dc:creator>User Windows</dc:creator>
  <dc:description/>
  <dc:language>ru-RU</dc:language>
  <cp:lastModifiedBy/>
  <dcterms:modified xsi:type="dcterms:W3CDTF">2026-05-31T13:58:27Z</dcterms:modified>
  <cp:revision>10</cp:revision>
  <dc:subject/>
  <dc:title>МИНИСТЕРСТВО ОБРАЗОВАНИЯ И НАУКИ РОССИЙСКОЙ ФЕДЕРАЦИИ</dc:title>
</cp:coreProperties>
</file>

<file path=docProps/custom.xml><?xml version="1.0" encoding="utf-8"?>
<Properties xmlns="http://schemas.openxmlformats.org/officeDocument/2006/custom-properties" xmlns:vt="http://schemas.openxmlformats.org/officeDocument/2006/docPropsVTypes"/>
</file>