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0" distB="0" distL="114935" distR="114935" simplePos="0" locked="0" layoutInCell="1" allowOverlap="1" relativeHeight="2">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nvSpPr>
                        <wps:cNvPr id="2" name="Прямоугольник 40"/>
                        <wps:cNvSpPr/>
                      </wps:nvSpPr>
                      <wps:spPr>
                        <a:xfrm>
                          <a:off x="0" y="0"/>
                          <a:ext cx="1089720" cy="39492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40"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pPr>
      <w:r>
        <w:rPr>
          <w:rFonts w:ascii="Times New Roman" w:hAnsi="Times New Roman"/>
          <w:color w:val="000000"/>
          <w:sz w:val="28"/>
          <w:szCs w:val="28"/>
          <w:highlight w:val="yellow"/>
          <w:lang w:eastAsia="ru-RU"/>
        </w:rPr>
        <w:t xml:space="preserve">– </w:t>
      </w:r>
      <w:r>
        <w:rPr>
          <w:rFonts w:ascii="Times New Roman" w:hAnsi="Times New Roman"/>
          <w:color w:val="000000"/>
          <w:sz w:val="28"/>
          <w:szCs w:val="28"/>
          <w:highlight w:val="yellow"/>
          <w:lang w:eastAsia="ru-RU"/>
        </w:rPr>
        <w:t xml:space="preserve">анализ состояния проблемы, </w:t>
      </w:r>
    </w:p>
    <w:p>
      <w:pPr>
        <w:pStyle w:val="Normal"/>
        <w:spacing w:lineRule="auto" w:line="240"/>
        <w:ind w:hanging="0"/>
        <w:rPr>
          <w:rFonts w:ascii="Times New Roman" w:hAnsi="Times New Roman"/>
          <w:color w:val="000000"/>
          <w:sz w:val="28"/>
          <w:szCs w:val="28"/>
          <w:highlight w:val="yellow"/>
          <w:lang w:eastAsia="ru-RU"/>
        </w:rPr>
      </w:pPr>
      <w:r>
        <w:rPr>
          <w:rFonts w:ascii="Times New Roman" w:hAnsi="Times New Roman"/>
          <w:color w:val="000000"/>
          <w:sz w:val="28"/>
          <w:szCs w:val="28"/>
          <w:highlight w:val="yellow"/>
          <w:lang w:eastAsia="ru-RU"/>
        </w:rPr>
        <w:t xml:space="preserve">– </w:t>
      </w:r>
      <w:r>
        <w:rPr>
          <w:rFonts w:ascii="Times New Roman" w:hAnsi="Times New Roman"/>
          <w:color w:val="000000"/>
          <w:sz w:val="28"/>
          <w:szCs w:val="28"/>
          <w:highlight w:val="yellow"/>
          <w:lang w:eastAsia="ru-RU"/>
        </w:rPr>
        <w:t xml:space="preserve">предлагаемые способы решения проблемы, </w:t>
      </w:r>
    </w:p>
    <w:p>
      <w:pPr>
        <w:pStyle w:val="Normal"/>
        <w:spacing w:lineRule="auto" w:line="240"/>
        <w:ind w:hanging="0"/>
        <w:rPr/>
      </w:pPr>
      <w:r>
        <w:rPr>
          <w:rFonts w:ascii="Times New Roman" w:hAnsi="Times New Roman"/>
          <w:color w:val="000000"/>
          <w:sz w:val="28"/>
          <w:szCs w:val="28"/>
          <w:highlight w:val="yellow"/>
          <w:lang w:eastAsia="ru-RU"/>
        </w:rPr>
        <w:t xml:space="preserve">– </w:t>
      </w:r>
      <w:r>
        <w:rPr>
          <w:rFonts w:ascii="Times New Roman" w:hAnsi="Times New Roman"/>
          <w:color w:val="000000"/>
          <w:sz w:val="28"/>
          <w:szCs w:val="28"/>
          <w:highlight w:val="yellow"/>
          <w:lang w:eastAsia="ru-RU"/>
        </w:rPr>
        <w:t>проверка и подтверждение результатов исследования</w:t>
      </w:r>
      <w:r>
        <w:rPr>
          <w:rFonts w:ascii="Times New Roman" w:hAnsi="Times New Roman"/>
          <w:color w:val="000000"/>
          <w:sz w:val="28"/>
          <w:szCs w:val="28"/>
          <w:lang w:eastAsia="ru-RU"/>
        </w:rPr>
        <w:t xml:space="preserve">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599"/>
        <w:gridCol w:w="1655"/>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59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59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59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599"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r>
        <w:br w:type="page"/>
      </w:r>
    </w:p>
    <w:p>
      <w:pPr>
        <w:pStyle w:val="Normal"/>
        <w:tabs>
          <w:tab w:val="clear" w:pos="708"/>
          <w:tab w:val="left" w:pos="8910" w:leader="none"/>
        </w:tabs>
        <w:spacing w:lineRule="auto" w:line="240" w:before="0" w:after="0"/>
        <w:ind w:hanging="0"/>
        <w:rPr/>
      </w:pPr>
      <w:r>
        <w:rPr/>
      </w:r>
    </w:p>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rPr>
          <w:rFonts w:ascii="Times New Roman" w:hAnsi="Times New Roman"/>
          <w:b/>
          <w:sz w:val="28"/>
          <w:szCs w:val="28"/>
        </w:rPr>
      </w:pPr>
      <w:r>
        <w:rPr>
          <w:rFonts w:ascii="Times New Roman" w:hAnsi="Times New Roman"/>
          <w:b/>
          <w:sz w:val="28"/>
          <w:szCs w:val="28"/>
        </w:rPr>
        <w:t>СОДЕРЖАНИЕ</w:t>
      </w:r>
    </w:p>
    <w:p>
      <w:pPr>
        <w:pStyle w:val="TOC1"/>
        <w:rPr/>
      </w:pPr>
      <w:r>
        <w:rPr/>
      </w:r>
    </w:p>
    <w:sdt>
      <w:sdtPr>
        <w:docPartObj>
          <w:docPartGallery w:val="Table of Contents"/>
          <w:docPartUnique w:val="true"/>
        </w:docPartObj>
      </w:sdtPr>
      <w:sdtContent>
        <w:p>
          <w:pPr>
            <w:pStyle w:val="TOC1"/>
            <w:ind w:hanging="0"/>
            <w:rPr>
              <w:rFonts w:ascii="Times New Roman" w:hAnsi="Times New Roman"/>
              <w:sz w:val="28"/>
            </w:rPr>
          </w:pPr>
          <w:r>
            <w:fldChar w:fldCharType="begin"/>
          </w:r>
          <w:r>
            <w:rPr>
              <w:webHidden/>
              <w:rStyle w:val="IndexLink"/>
              <w:sz w:val="28"/>
            </w:rPr>
            <w:instrText xml:space="preserve"> TOC \z \o "1-3" \u \h</w:instrText>
          </w:r>
          <w:r>
            <w:rPr>
              <w:webHidden/>
              <w:rStyle w:val="IndexLink"/>
              <w:sz w:val="28"/>
            </w:rPr>
            <w:fldChar w:fldCharType="separate"/>
          </w:r>
          <w:hyperlink w:anchor="__RefHeading___Toc229529021">
            <w:r>
              <w:rPr>
                <w:webHidden/>
                <w:rStyle w:val="IndexLink"/>
                <w:sz w:val="28"/>
              </w:rPr>
              <w:t>ВВЕДЕНИЕ</w:t>
            </w:r>
            <w:r>
              <w:rPr>
                <w:rStyle w:val="IndexLink"/>
                <w:sz w:val="28"/>
              </w:rPr>
              <w:tab/>
              <w:t>5</w:t>
            </w:r>
          </w:hyperlink>
        </w:p>
        <w:p>
          <w:pPr>
            <w:pStyle w:val="TOC1"/>
            <w:rPr/>
          </w:pPr>
          <w:hyperlink w:anchor="__RefHeading___Toc229529022">
            <w:r>
              <w:rPr>
                <w:webHidden/>
                <w:rStyle w:val="IndexLink"/>
              </w:rPr>
              <w:t xml:space="preserve">1. </w:t>
            </w:r>
            <w:r>
              <w:rPr>
                <w:rStyle w:val="IndexLink"/>
                <w:highlight w:val="yellow"/>
              </w:rPr>
              <w:t>АНАЛИЗ СОСТОЯНИЯ ПРОБЛЕМЫ</w:t>
            </w:r>
            <w:r>
              <w:rPr>
                <w:rStyle w:val="IndexLink"/>
              </w:rPr>
              <w:tab/>
              <w:t>7</w:t>
            </w:r>
          </w:hyperlink>
        </w:p>
        <w:p>
          <w:pPr>
            <w:pStyle w:val="TOC1"/>
            <w:rPr/>
          </w:pPr>
          <w:hyperlink w:anchor="__RefHeading___Toc229529023">
            <w:r>
              <w:rPr>
                <w:webHidden/>
                <w:rStyle w:val="IndexLink"/>
              </w:rPr>
              <w:t xml:space="preserve">2. </w:t>
            </w:r>
            <w:r>
              <w:rPr>
                <w:rStyle w:val="IndexLink"/>
                <w:highlight w:val="yellow"/>
              </w:rPr>
              <w:t>ПРЕДЛАГАЕМЫЕ СПОСОБЫ РЕШЕНИЯ ПРОБЛЕМЫ</w:t>
            </w:r>
            <w:r>
              <w:rPr>
                <w:rStyle w:val="IndexLink"/>
              </w:rPr>
              <w:tab/>
              <w:t>8</w:t>
            </w:r>
          </w:hyperlink>
        </w:p>
        <w:p>
          <w:pPr>
            <w:pStyle w:val="TOC1"/>
            <w:rPr/>
          </w:pPr>
          <w:hyperlink w:anchor="__RefHeading___Toc229529024">
            <w:r>
              <w:rPr>
                <w:webHidden/>
                <w:rStyle w:val="IndexLink"/>
              </w:rPr>
              <w:t xml:space="preserve">3. </w:t>
            </w:r>
            <w:r>
              <w:rPr>
                <w:rStyle w:val="IndexLink"/>
                <w:highlight w:val="yellow"/>
              </w:rPr>
              <w:t>ПРОВЕРКА И ПОДТВЕРЖДЕНИЕ РЕЗУЛЬТАТОВ ИССЛЕДОВАНИЯ</w:t>
            </w:r>
            <w:r>
              <w:rPr>
                <w:rStyle w:val="IndexLink"/>
              </w:rPr>
              <w:tab/>
              <w:t>9</w:t>
            </w:r>
          </w:hyperlink>
        </w:p>
        <w:p>
          <w:pPr>
            <w:pStyle w:val="TOC1"/>
            <w:rPr/>
          </w:pPr>
          <w:hyperlink w:anchor="__RefHeading___Toc229529025">
            <w:r>
              <w:rPr>
                <w:webHidden/>
                <w:rStyle w:val="IndexLink"/>
              </w:rPr>
              <w:t>СПИСОК ИСПОЛЬЗОВАННЫХ ИСТОЧНИКОВ</w:t>
              <w:tab/>
              <w:t>10</w:t>
            </w:r>
          </w:hyperlink>
        </w:p>
        <w:p>
          <w:pPr>
            <w:pStyle w:val="TOC1"/>
            <w:rPr>
              <w:szCs w:val="28"/>
              <w:lang w:eastAsia="ru-RU"/>
            </w:rPr>
          </w:pPr>
          <w:hyperlink w:anchor="__RefHeading___Toc229529026">
            <w:r>
              <w:rPr>
                <w:webHidden/>
                <w:rStyle w:val="IndexLink"/>
              </w:rPr>
              <w:t>ПРИЛОЖЕНИЯ</w:t>
              <w:tab/>
              <w:t>11</w:t>
            </w:r>
          </w:hyperlink>
          <w:r>
            <w:rPr>
              <w:rStyle w:val="IndexLink"/>
            </w:rPr>
            <w:fldChar w:fldCharType="end"/>
          </w:r>
        </w:p>
      </w:sdtContent>
    </w:sdt>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Style w:val="Normal"/>
        <w:spacing w:lineRule="auto" w:line="480"/>
        <w:ind w:hanging="0"/>
        <w:rPr>
          <w:rFonts w:ascii="Times New Roman" w:hAnsi="Times New Roman"/>
          <w:sz w:val="28"/>
          <w:szCs w:val="28"/>
          <w:lang w:eastAsia="ru-RU"/>
        </w:rPr>
      </w:pPr>
      <w:r>
        <w:rPr>
          <w:rFonts w:ascii="Times New Roman" w:hAnsi="Times New Roman"/>
          <w:sz w:val="28"/>
          <w:szCs w:val="28"/>
          <w:lang w:eastAsia="ru-RU"/>
        </w:rPr>
      </w:r>
    </w:p>
    <w:p>
      <w:pPr>
        <w:pStyle w:val="Heading1"/>
        <w:numPr>
          <w:ilvl w:val="0"/>
          <w:numId w:val="1"/>
        </w:numPr>
        <w:ind w:firstLine="709"/>
        <w:rPr/>
      </w:pPr>
      <w:bookmarkStart w:id="0" w:name="__RefHeading___Toc229529021"/>
      <w:bookmarkEnd w:id="0"/>
      <w: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сигналов[1],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 Выбран предложенный подход (STM32F407 + высокоскоростной АЦП Analog Devices с 18.6 MS/s) и обоснованы его преимущества: высокая скорость выборки для построения гистограмм амплитуд и точного измерения периода, гибкость цифровой обработки на компьютере, возможности глубокой постобработки.</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pPr>
      <w:r>
        <w:rPr/>
        <w:t>1.1 Периодические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 $x(t)=x(t+T)$ при любом $t$</w:t>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Простейшая форма – гармоническое (синусоидальное) колебание с амплитудой $A$, частотой $f=1/T$ и фазой $\varphi_0$</w:t>
      </w:r>
      <w:r>
        <w:fldChar w:fldCharType="begin"/>
      </w:r>
      <w:r>
        <w:rPr>
          <w:rStyle w:val="Hyperlink"/>
        </w:rPr>
        <w:instrText xml:space="preserve"> HYPERLINK "https://studfile.net/preview/7013044/page:2/" \l ":~:text=%D0%9F%D1%80%D0%BE%D1%81%D1%82%D0%B5%D0%B9%D1%88%D0%B8%D0%BC%20%D0%BF%D0%B5%D1%80%D0%B8%D0%BE%D0%B4%D0%B8%D1%87%D0%B5%D1%81%D0%BA%D0%B8%D0%BC%20%D0%B4%D0%B5%D1%82%D0%B5%D1%80%D0%BC%D0%B8%D0%BD%D0%B8%D1%80%D0%BE%D0%B2%D0%B0%D0%BD%D0%BD%D1%8B%D0%BC%20%D1%81%D0%B8%D0%B3%D0%BD%D0%B0%D0%BB%D0%BE%D0%BC%20%D1%8F%D0%B2%D0%BB%D1%8F%C2%AD%D0%B5%D1%82%D1%81%D1%8F,%D0%BE%D0%BF%D1%80%D0%B5%D0%B4%D0%B5%D0%BB%D1%8F%D0%B5%D0%BC%D0%BE%D0%B5%20%D0%B7%D0%B0%D0%BA%D0%BE%D0%BD%D0%BE%D0%BC"</w:instrText>
      </w:r>
      <w:r>
        <w:rPr>
          <w:rStyle w:val="Hyperlink"/>
        </w:rPr>
        <w:fldChar w:fldCharType="separate"/>
      </w:r>
      <w:r>
        <w:rPr>
          <w:rStyle w:val="Hyperlink"/>
        </w:rPr>
        <w:t>[4]</w:t>
      </w:r>
      <w:r>
        <w:rPr>
          <w:rStyle w:val="Hyperlink"/>
        </w:rPr>
        <w:fldChar w:fldCharType="end"/>
      </w:r>
      <w:r>
        <w:fldChar w:fldCharType="begin"/>
      </w:r>
      <w:r>
        <w:rPr>
          <w:rStyle w:val="Hyperlink"/>
        </w:rPr>
        <w:instrText xml:space="preserve"> HYPERLINK "https://siblec.ru/telekommunikatsii/vvedenie-v-spetsialnost/3-signaly-vidy-signalov-i-ikh-parametry" \l ":~:text=%D0%9F%D0%B5%D1%80%D0%B8%D0%BE%D0%B4%D0%B8%D1%87%D0%B5%D1%81%D0%BA%D0%B8%D0%BC%20%D0%BD%D0%B0%D0%B7%D1%8B%D0%B2%D0%B0%D0%B5%D1%82%D1%81%D1%8F%20%D1%81%D0%B8%D0%B3%D0%BD%D0%B0%D0%BB%2C%20%D0%B7%D0%BD%D0%B0%D1%87%D0%B5%D0%BD%D0%B8%D1%8F%20%D0%BA%D0%BE%D1%82%D0%BE%D1%80%D0%BE%D0%B3%D0%BE,%D1%81%D0%B8%D0%B3%D0%BD%D0%B0%D0%BB%D0%B0%20%D1%8D%D1%82%D0%BE%20%D1%83%D1%81%D0%BB%D0%BE%D0%B2%D0%B8%D0%B5%20%D0%BD%D0%B5%20%D0%B2%D1%8B%D0%BF%D0%BE%D0%BB%D0%BD%D1%8F%D0%B5%D1%82%D1%81%D1%8F"</w:instrText>
      </w:r>
      <w:r>
        <w:rPr>
          <w:rStyle w:val="Hyperlink"/>
        </w:rPr>
        <w:fldChar w:fldCharType="separate"/>
      </w:r>
      <w:r>
        <w:rPr>
          <w:rStyle w:val="Hyperlink"/>
        </w:rPr>
        <w:t>[3]</w:t>
      </w:r>
      <w:r>
        <w:rPr>
          <w:rStyle w:val="Hyperlink"/>
        </w:rPr>
        <w:fldChar w:fldCharType="end"/>
      </w:r>
      <w:r>
        <w:rPr/>
        <w:t xml:space="preserve">.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rPr/>
        <w:t xml:space="preserve"> позволяет разложить любой периодический сигнал в ряд синусоид с частотами $n/T$</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являются </w:t>
      </w:r>
      <w:r>
        <w:rPr>
          <w:b/>
          <w:bCs/>
        </w:rPr>
        <w:t>фундаментальной основой</w:t>
      </w:r>
      <w:r>
        <w:rPr/>
        <w:t xml:space="preserve"> практически всех электро</w:t>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надёжного измерения амплитуды, частоты и формы периодических сигналов критически важны для </w:t>
      </w:r>
      <w:r>
        <w:rPr>
          <w:b/>
          <w:bCs/>
        </w:rPr>
        <w:t>систем связи, радиолокации, измерительной техники, медицинской аппаратуры и промышленного оборудования</w:t>
      </w:r>
      <w:r>
        <w:rPr/>
        <w:t>. Например, в системах 5G/6G требуются сверхчистые (низкошу</w:t>
        <w:softHyphen/>
        <w:t>мовы) несущие сигналы с высокой стабильностью и точностью</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r>
        <w:rPr/>
        <w:t>1.2 Области применения и практическая значимость</w:t>
      </w:r>
    </w:p>
    <w:p>
      <w:pPr>
        <w:pStyle w:val="BodyText"/>
        <w:rPr/>
      </w:pPr>
      <w:r>
        <w:rPr>
          <w:b/>
          <w:bCs/>
        </w:rPr>
        <w:t>Телекоммуникации:</w:t>
      </w:r>
      <w:r>
        <w:rPr/>
        <w:t xml:space="preserve">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Тайминговые сигналы (тактовые или синхросигналы) – прямоугольные волны – «сердце» цифровых каналов</w:t>
      </w:r>
      <w:r>
        <w:fldChar w:fldCharType="begin"/>
      </w:r>
      <w:r>
        <w:rPr>
          <w:rStyle w:val="Hyperlink"/>
        </w:rPr>
        <w:instrText xml:space="preserve"> HYPERLINK "https://kampus.ai/referat/generator-periodiceskix-signalov-130297/" \l ":~:text=%D0%90%D0%BA%D1%82%D1%83%D0%B0%D0%BB%D1%8C%D0%BD%D0%BE%D1%81%D1%82%D1%8C%20%D1%82%D0%B5%D0%BC%D1%8B%20%D0%BE%D0%B1%D1%83%D1%81%D0%BB%D0%BE%D0%B2%D0%BB%D0%B5%D0%BD%D0%B0%20%D1%84%D1%83%D0%BD%D0%B4%D0%B0%D0%BC%D0%B5%D0%BD%D1%82%D0%B0%D0%BB%D1%8C%D0%BD%D0%BE%D0%B9%20%D1%80%D0%BE%D0%BB%D1%8C%D1%8E,%D0%A6%D0%B8%D1%84%D1%80%D0%BE%D0%B2%D0%B0%D1%8F%20%D1%81%D1%85%D0%B5%D0%BC%D0%BE%D1%82%D0%B5%D1%85%D0%BD%D0%B8%D0%BA%D0%B0%20%D0%B8"</w:instrText>
      </w:r>
      <w:r>
        <w:rPr>
          <w:rStyle w:val="Hyperlink"/>
        </w:rPr>
        <w:fldChar w:fldCharType="separate"/>
      </w:r>
      <w:r>
        <w:rPr>
          <w:rStyle w:val="Hyperlink"/>
        </w:rPr>
        <w:t>[6]</w:t>
      </w:r>
      <w:r>
        <w:rPr>
          <w:rStyle w:val="Hyperlink"/>
        </w:rPr>
        <w:fldChar w:fldCharType="end"/>
      </w:r>
      <w:r>
        <w:rPr/>
        <w:t>.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BodyText"/>
        <w:rPr/>
      </w:pPr>
      <w:r>
        <w:rPr>
          <w:b/>
          <w:bCs/>
        </w:rPr>
        <w:t>Радиолокация и радионавигация:</w:t>
      </w:r>
      <w:r>
        <w:rPr/>
        <w:t xml:space="preserve">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 Надёжная оценка частоты/фазы сигналов обеспечивает высокую точность позиционирования в навигации.</w:t>
      </w:r>
    </w:p>
    <w:p>
      <w:pPr>
        <w:pStyle w:val="BodyText"/>
        <w:rPr/>
      </w:pPr>
      <w:r>
        <w:rPr>
          <w:b/>
          <w:bCs/>
        </w:rPr>
        <w:t>Медицина и биосигналы:</w:t>
      </w:r>
      <w:r>
        <w:rPr/>
        <w:t xml:space="preserve">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b/>
          <w:bCs/>
        </w:rPr>
        <w:t>Промышленное управление и автоматика:</w:t>
      </w:r>
      <w:r>
        <w:rPr/>
        <w:t xml:space="preserve">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генерируют опорные периодические сигналы для проверки характеристик устройств (см. «Кристалл»-проект).</w:t>
      </w:r>
    </w:p>
    <w:p>
      <w:pPr>
        <w:pStyle w:val="BodyText"/>
        <w:rPr/>
      </w:pPr>
      <w:r>
        <w:rPr>
          <w:b/>
          <w:bCs/>
        </w:rPr>
        <w:t>Контрольно-измерительная аппаратура:</w:t>
      </w:r>
      <w:r>
        <w:rPr/>
        <w:t xml:space="preserve">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rPr/>
        <w:t>) делает актуальной разработку компактных цифровых измерителей параметров сигнала.</w:t>
      </w:r>
    </w:p>
    <w:p>
      <w:pPr>
        <w:pStyle w:val="BodyText"/>
        <w:rPr/>
      </w:pPr>
      <w:r>
        <w:rPr/>
      </w:r>
    </w:p>
    <w:p>
      <w:pPr>
        <w:pStyle w:val="Heading2"/>
        <w:rPr/>
      </w:pPr>
      <w: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b/>
          <w:bCs/>
        </w:rPr>
        <w:t>Тепловой шум (джонсоновский):</w:t>
      </w:r>
      <w:r>
        <w:rPr/>
        <w:t xml:space="preserve"> Широкополосный шум, генерируемый тепловым движением электронов в резисторах и полупроводниках.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растёт. При SNR около 0 дБ погрешность частоты может достигать нескольких процентов (зависит от алгоритма измерения).</w:t>
      </w:r>
    </w:p>
    <w:p>
      <w:pPr>
        <w:pStyle w:val="BodyText"/>
        <w:rPr/>
      </w:pPr>
      <w:r>
        <w:rPr>
          <w:b/>
          <w:bCs/>
        </w:rPr>
        <w:t>Фазовый шум и джиттер:</w:t>
      </w:r>
      <w:r>
        <w:rPr/>
        <w:t xml:space="preserve"> Кратковременные флуктуации фазы или времени периодического сигнала. Вызываются нестабильностью генератора, шумом в усилителях, квантованием АЦП и др.</w:t>
      </w:r>
      <w:r>
        <w:fldChar w:fldCharType="begin"/>
      </w:r>
      <w:r>
        <w:rPr>
          <w:rStyle w:val="Hyperlink"/>
        </w:rPr>
        <w:instrText xml:space="preserve"> HYPERLINK "https://srns.ru/images/c/ce/20140623_%D0%A1%D0%B5%D1%80%D0%B3%D0%B5%D0%B5%D0%B2_%D0%9D.%D0%98.%D0%B1%D0%B0%D0%BA%D0%B0%D0%BB%D0%B0%D0%B2%D1%80%D1%81%D0%BA%D0%B0%D1%8F_%D1%80%D0%B0%D0%B1%D0%BE%D1%82%D0%B0.pdf" \l ":~:text=%D0%A4%D0%B0%D0%B7%D0%BE%D0%B2%D1%8B%D0%B5%20%D1%88%D1%83%D0%BC%D1%8B%20%E2%80%93%20%D1%85%D0%B0%D1%80%D0%B0%D0%BA%D1%82%D0%B5%D1%80%D0%B8%D1%81%D1%82%D0%B8%D0%BA%D0%B0%20%D0%B4%D0%BB%D1%8F,%D0%BF%D0%BB%D0%BE%D1%82%D0%BD%D0%BE%D1%81%D1%82%D1%8C%20%D0%BC%D0%BE%D1%89%D0%BD%D0%BE%D1%81%D1%82%D0%B8%20%D1%81%D0%BB%D1%83%D1%87%D0%B0%D0%B9%D0%BD%D1%8B%D1%85%20%D0%BE%D1%82%D0%BA%D0%BB%D0%BE%D0%BD%D0%B5%D0%BD%D0%B8%D0%B9%20%D1%84%D0%B0%D0%B7%D1%8B"</w:instrText>
      </w:r>
      <w:r>
        <w:rPr>
          <w:rStyle w:val="Hyperlink"/>
        </w:rPr>
        <w:fldChar w:fldCharType="separate"/>
      </w:r>
      <w:r>
        <w:rPr>
          <w:rStyle w:val="Hyperlink"/>
        </w:rPr>
        <w:t>[8]</w:t>
      </w:r>
      <w:r>
        <w:rPr>
          <w:rStyle w:val="Hyperlink"/>
        </w:rPr>
        <w:fldChar w:fldCharType="end"/>
      </w:r>
      <w:r>
        <w:rPr/>
        <w:t>. Фазовый шум приводит к расширению спектральной линии сигнала и нелинейному изменению частоты во времени; джиттер (колебания фронтов) создаёт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pPr>
      <w:r>
        <w:rPr>
          <w:b/>
          <w:bCs/>
        </w:rPr>
        <w:t>Импульсные помехи:</w:t>
      </w:r>
      <w:r>
        <w:rPr/>
        <w:t xml:space="preserve"> Кратковременные высокоамплитудные выбросы (например, от коммутационных переходов, грозовых разрядов)</w:t>
      </w:r>
      <w:r>
        <w:fldChar w:fldCharType="begin"/>
      </w:r>
      <w:r>
        <w:rPr>
          <w:rStyle w:val="Hyperlink"/>
        </w:rPr>
        <w:instrText xml:space="preserve"> HYPERLINK "https://studfile.net/preview/7190937/page:26/" \l ":~:text=%D0%9A%D1%80%D0%BE%D0%BC%D0%B5%20%D1%84%D0%BB%D1%83%D0%BA%D1%82%D1%83%D0%B0%D1%86%D0%B8%D0%BE%D0%BD%D0%BD%D1%8B%D1%85%20%D0%B8%20%D1%81%D0%BE%D1%81%D1%80%D0%B5%D0%B4%D0%BE%D1%82%D0%BE%D1%87%D0%B5%D0%BD%D0%BD%D1%8B%D1%85%20%D0%BF%D0%BE,%D0%B0%20%D1%82%D0%B0%D0%BA%D0%B6%D0%B5%20%D1%81%D0%BF%D0%B5%D1%86%D0%B8%D0%B0%D0%BB%D1%8C%D0%BD%D1%8B%D0%BC%D0%B8%20%D0%B8%D0%BC%D0%BF%D1%83%D0%BB%D1%8C%D1%81%D0%BD%D1%8B%D0%BC%D0%B8%20%D0%B3%D0%B5%D0%BD%D0%B5%D1%80%D0%B0%D1%82%D0%BE%D1%80%D0%B0%D0%BC%D0%B8"</w:instrText>
      </w:r>
      <w:r>
        <w:rPr>
          <w:rStyle w:val="Hyperlink"/>
        </w:rPr>
        <w:fldChar w:fldCharType="separate"/>
      </w:r>
      <w:r>
        <w:rPr>
          <w:rStyle w:val="Hyperlink"/>
        </w:rPr>
        <w:t>[9]</w:t>
      </w:r>
      <w:r>
        <w:rPr>
          <w:rStyle w:val="Hyperlink"/>
        </w:rPr>
        <w:fldChar w:fldCharType="end"/>
      </w:r>
      <w:r>
        <w:rPr/>
        <w:t>. Они составляют узкополосную или широкополосную помеху с большим пиковым значением. При приёме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pPr>
      <w:r>
        <w:rPr>
          <w:b/>
          <w:bCs/>
        </w:rPr>
        <w:t>Электромагнитные помехи (ЭМИ):</w:t>
      </w:r>
      <w:r>
        <w:rPr/>
        <w:t xml:space="preserve"> Узкополосные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bCs/>
        </w:rPr>
        <w:t>Другие шумы (слипания, дробовой шум, 1/f-шум и т.д.):</w:t>
      </w:r>
      <w:r>
        <w:rPr/>
        <w:t xml:space="preserve"> Реже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pPr>
      <w:bookmarkStart w:id="2" w:name="критерии-и-метрики-сравнения-методов"/>
      <w:r>
        <w:rPr/>
        <w:t>Критерии и метрики сравнения методов</w:t>
      </w:r>
    </w:p>
    <w:p>
      <w:pPr>
        <w:pStyle w:val="BodyText"/>
        <w:rPr/>
      </w:pPr>
      <w:r>
        <w:rPr/>
        <w:t>Для объективной оценки методов введём следующие критерии:</w:t>
      </w:r>
    </w:p>
    <w:p>
      <w:pPr>
        <w:pStyle w:val="BodyText"/>
        <w:rPr/>
      </w:pPr>
      <w:r>
        <w:rPr>
          <w:b/>
          <w:bCs/>
        </w:rPr>
        <w:t>- Сложность разработки:</w:t>
      </w:r>
      <w:r>
        <w:rPr/>
        <w:t xml:space="preserve"> количество трудозатрат для реализации устройства, выражается в виде человеко-часов и необходимых компетенций для реализации как аппаратной части устройства, так и программной;</w:t>
      </w:r>
    </w:p>
    <w:p>
      <w:pPr>
        <w:pStyle w:val="BodyText"/>
        <w:rPr/>
      </w:pPr>
      <w:r>
        <w:rPr>
          <w:b/>
          <w:bCs/>
        </w:rPr>
        <w:t>- Стоимость компонентов:</w:t>
      </w:r>
      <w:r>
        <w:rPr/>
        <w:t xml:space="preserve"> цена всех комплектующих, за исключением печатных плат и базовых компонентов (резисторы, конденсаторы, керамические резонаторы и прочие компоненты с пренебрежительно маленькой стоимостью) (народное – «рассыпуха»);</w:t>
      </w:r>
    </w:p>
    <w:p>
      <w:pPr>
        <w:pStyle w:val="BodyText"/>
        <w:rPr/>
      </w:pPr>
      <w:r>
        <w:rPr>
          <w:b/>
          <w:bCs/>
        </w:rPr>
        <w:t>- Возможности обработки:</w:t>
      </w:r>
      <w:r>
        <w:rPr/>
        <w:t xml:space="preserve"> какие параметры сигнала можно измерить (амплитуда, частота, фаза, форма), доступность модификации алгоритмов;</w:t>
      </w:r>
    </w:p>
    <w:p>
      <w:pPr>
        <w:pStyle w:val="BodyText"/>
        <w:rPr/>
      </w:pPr>
      <w:r>
        <w:rPr>
          <w:b/>
          <w:bCs/>
        </w:rPr>
        <w:t>- Точность и разрешающая способность при шуме:</w:t>
      </w:r>
      <w:r>
        <w:rPr/>
        <w:t xml:space="preserve"> погрешность измерения амплитуды/частоты при заданном уровне шума (SNR);</w:t>
      </w:r>
    </w:p>
    <w:p>
      <w:pPr>
        <w:pStyle w:val="BodyText"/>
        <w:rPr/>
      </w:pPr>
      <w:r>
        <w:rPr>
          <w:b/>
          <w:bCs/>
        </w:rPr>
        <w:t>- Время реакции:</w:t>
      </w:r>
      <w:r>
        <w:rPr/>
        <w:t xml:space="preserve"> задержка системы и скорость измерений (важно для динамических сигналов);</w:t>
      </w:r>
      <w:bookmarkEnd w:id="2"/>
    </w:p>
    <w:p>
      <w:pPr>
        <w:pStyle w:val="BodyText"/>
        <w:rPr>
          <w:lang w:val="ru-RU" w:eastAsia="en-US"/>
        </w:rPr>
      </w:pPr>
      <w:r>
        <w:rPr>
          <w:lang w:val="ru-RU" w:eastAsia="en-US"/>
        </w:rPr>
      </w:r>
    </w:p>
    <w:p>
      <w:pPr>
        <w:pStyle w:val="Heading2"/>
        <w:rPr/>
      </w:pPr>
      <w:r>
        <w:rPr/>
        <w:t>Существующие подходы к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подходы</w:t>
      </w:r>
      <w:r>
        <w:rPr>
          <w:lang w:val="en-US"/>
        </w:rPr>
        <w:t>:</w:t>
      </w:r>
    </w:p>
    <w:p>
      <w:pPr>
        <w:pStyle w:val="BodyText"/>
        <w:rPr/>
      </w:pPr>
      <w:bookmarkStart w:id="3" w:name="аналоговые-методы"/>
      <w:r>
        <w:rPr>
          <w:b/>
          <w:bCs/>
        </w:rPr>
        <w:t>Компараторы и пороговые детекторы</w:t>
      </w:r>
      <w:r>
        <w:rPr/>
        <w:t xml:space="preserve"> преобразуют входной сигнал в цифровую последовательность импульсов (сигнализации фронтов). Просты по реализации (цена – дешёвые ОУ или компараторы), но чувствительны к уровню смещения и шуму (каждый фронт может «дребезжать» из-за шипов). Требуют дополнительной схемы стабилизации порога. </w:t>
      </w:r>
      <w:r>
        <w:rPr>
          <w:b/>
          <w:bCs/>
        </w:rPr>
        <w:t>Плюс:</w:t>
      </w:r>
      <w:r>
        <w:rPr/>
        <w:t xml:space="preserve"> просты, работают в реальном времени, не требуют АЦП и ЦП. </w:t>
      </w:r>
      <w:r>
        <w:rPr>
          <w:b/>
          <w:bCs/>
        </w:rPr>
        <w:t>Минус:</w:t>
      </w:r>
      <w:r>
        <w:rPr/>
        <w:t xml:space="preserve">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rPr/>
        <w:t>.</w:t>
      </w:r>
    </w:p>
    <w:p>
      <w:pPr>
        <w:pStyle w:val="BodyText"/>
        <w:rPr/>
      </w:pPr>
      <w:r>
        <w:rPr>
          <w:b/>
          <w:bCs/>
        </w:rPr>
        <w:t>Частотомеры (прямой счёт):</w:t>
      </w:r>
      <w:r>
        <w:rPr/>
        <w:t xml:space="preserve"> Известный метод – считать число периодов исследуемого сигнала за фиксированный промежуток времени (метод прямого счета)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Схема типового цифрового частотомера (см. методичку) содержит входное согласующее устройство, формирователь импульсов и счётчик</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Плюс:</w:t>
      </w:r>
      <w:r>
        <w:rPr/>
        <w:t xml:space="preserve"> высокая точность при больших счётных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даёт ошибку). Погрешность связана с ограничением разрядности счётчика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счётчику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даёт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bookmarkEnd w:id="3"/>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[1]</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[5]</w:t>
      </w:r>
      <w:r>
        <w:rPr>
          <w:rStyle w:val="Hyperlink"/>
        </w:rPr>
        <w:fldChar w:fldCharType="end"/>
      </w:r>
      <w:r>
        <w:rPr/>
        <w:t xml:space="preserve">. Нужен достаточный набор отсчётов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Приведём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даёт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счёт)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ведёт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lang w:val="ru-RU"/>
        </w:rPr>
      </w:pPr>
      <w:r>
        <w:rPr>
          <w:lang w:val="ru-RU"/>
        </w:rPr>
      </w:r>
    </w:p>
    <w:p>
      <w:pPr>
        <w:pStyle w:val="BodyText"/>
        <w:rPr/>
      </w:pPr>
      <w:r>
        <w:rPr/>
        <w:t>Источник: составлено автором на основе принципов из литературы</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[10]</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[11]</w:t>
      </w:r>
      <w:r>
        <w:rPr>
          <w:rStyle w:val="Hyperlink"/>
        </w:rPr>
        <w:fldChar w:fldCharType="end"/>
      </w:r>
      <w:r>
        <w:rPr/>
        <w:t>.</w:t>
      </w:r>
    </w:p>
    <w:p>
      <w:pPr>
        <w:pStyle w:val="BodyText"/>
        <w:rPr/>
      </w:pPr>
      <w:r>
        <w:rPr/>
      </w:r>
    </w:p>
    <w:p>
      <w:pPr>
        <w:pStyle w:val="Heading2"/>
        <w:rPr/>
      </w:pPr>
      <w:r>
        <w:rPr/>
        <w:t>1.5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r>
        <w:rPr/>
        <w:t>. Устройство использует операторы умножения и низкочастотные фильтры, выдаёт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[15]</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Это снижает время анализа за счёт перебора фаз опорного сигнала. Метод позволяет определить частоту и амплитуду гармоник</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[7]</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[14]</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расчёт спектра за счёт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r>
        <w:rPr/>
        <w:t>8. Рекомендованный объём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надёжность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дешёвы, но ограничены; цифровые даю гибкость, но требуют серьёзной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зашумлённого сигнала за счёт большого числа отсчётов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ind w:firstLine="709"/>
        <w:rPr/>
      </w:pPr>
      <w:bookmarkStart w:id="4" w:name="__RefHeading___Toc229529023"/>
      <w:bookmarkEnd w:id="4"/>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Приведён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подсчёт среднего числа отсчётов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5" w:name="аналоговые-методы_Copy_1"/>
      <w:r>
        <w:rPr/>
        <w:t>2.1 Аналоговые методы</w:t>
      </w:r>
    </w:p>
    <w:p>
      <w:pPr>
        <w:pStyle w:val="BodyText"/>
        <w:rPr/>
      </w:pPr>
      <w:r>
        <w:rPr>
          <w:b w:val="false"/>
          <w:bCs w:val="false"/>
        </w:rPr>
        <w:t>Компаратор</w:t>
      </w:r>
      <w:r>
        <w:rPr>
          <w:b w:val="false"/>
          <w:bCs w:val="false"/>
        </w:rPr>
        <w:t xml:space="preserve">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счёт. Разрешающая способность определяется стабильностью базового времени и количеством отсчётов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[2]</w:t>
      </w:r>
      <w:r>
        <w:rPr>
          <w:rStyle w:val="Hyperlink"/>
        </w:rPr>
        <w:fldChar w:fldCharType="end"/>
      </w:r>
      <w:r>
        <w:rPr/>
        <w:t xml:space="preserve">. Стоимость всё ещё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счёте:</w:t>
      </w:r>
      <w:r>
        <w:rPr/>
        <w:t xml:space="preserve"> Стандартный способ (цифровой). Сигнал через формирователь (компаратор) подаётся на цифровой счётчик,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w:t>
      </w:r>
      <w:r>
        <w:rPr>
          <w:rStyle w:val="Hyperlink"/>
        </w:rPr>
        <w:fldChar w:fldCharType="end"/>
      </w:r>
      <w:r>
        <w:rPr/>
        <w:t xml:space="preserve">. Тогда $f=N/T_{\text{сч}}$. Реализация требует источника точного такта (градуированного счётчика),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счётчика).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счётчикам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радиоприёме: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дешёвых встраиваемых системах для простой синхронизации, в </w:t>
      </w:r>
      <w:r>
        <w:rPr/>
        <w:t>устройствах реального времени с жёсткими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bookmarkEnd w:id="5"/>
    </w:p>
    <w:p>
      <w:pPr>
        <w:pStyle w:val="BodyText"/>
        <w:rPr/>
      </w:pPr>
      <w:r>
        <w:rPr/>
      </w:r>
    </w:p>
    <w:p>
      <w:pPr>
        <w:pStyle w:val="Heading2"/>
        <w:rPr/>
      </w:pPr>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трёхканальном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[3]</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[4]</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[5]</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[7]</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даёт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даёт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[8]</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отсчётов. На STM32F407 без DSP-сопроцессора и больших объёмов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всё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[6]</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ВЧ-счётчики.</w:t>
      </w:r>
    </w:p>
    <w:p>
      <w:pPr>
        <w:pStyle w:val="BodyText"/>
        <w:rPr/>
      </w:pPr>
      <w:r>
        <w:rPr/>
      </w:r>
    </w:p>
    <w:p>
      <w:pPr>
        <w:pStyle w:val="Heading2"/>
        <w:rPr/>
      </w:pPr>
      <w:bookmarkStart w:id="6" w:name="сравнительный-анализ-и-патентный-поиск"/>
      <w:r>
        <w:rPr/>
        <w:t>2.3 Сравнительный анализ и патентный поиск</w:t>
      </w:r>
    </w:p>
    <w:p>
      <w:pPr>
        <w:pStyle w:val="FirstParagraph"/>
        <w:rPr/>
      </w:pPr>
      <w:r>
        <w:rPr/>
        <w:t>Проведён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[9]</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[10]</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расчёт спектра за счёт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определённые моменты (решётчатые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объём вычислений за счёт выборки лишь некоторых отсчётов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применён.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дешёвый MCU и быстрый АЦП, что выходит за рамки описанных патентных решений и обеспечивает большую гибкость (медленная часть анализа выполняется на ПК).</w:t>
      </w:r>
      <w:bookmarkEnd w:id="6"/>
    </w:p>
    <w:p>
      <w:pPr>
        <w:pStyle w:val="BodyText"/>
        <w:rPr/>
      </w:pPr>
      <w:r>
        <w:rPr/>
      </w:r>
    </w:p>
    <w:p>
      <w:pPr>
        <w:pStyle w:val="Heading2"/>
        <w:rPr/>
      </w:pPr>
      <w:bookmarkStart w:id="7" w:name="варианты-реализации-и-сравнение"/>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счётчик. Схема: сигнал → компаратор → цифровой счётчик/таймер.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трёх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счётчик)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[3]</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[4]</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[6]</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w:t>
      </w:r>
      <w:r>
        <w:rPr>
          <w:i/>
          <w:iCs/>
        </w:rPr>
        <w:t>500 рублей</w:t>
      </w:r>
      <w:r>
        <w:rPr>
          <w:i/>
          <w:iCs/>
        </w:rPr>
        <w:t xml:space="preserve">, быстродействующий ADC – </w:t>
      </w:r>
      <w:r>
        <w:rPr>
          <w:i/>
          <w:iCs/>
        </w:rPr>
        <w:t>2000 рублей</w:t>
      </w:r>
      <w:r>
        <w:rPr>
          <w:i/>
          <w:iCs/>
        </w:rPr>
        <w:t xml:space="preserve">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[4]</w:t>
      </w:r>
      <w:r>
        <w:rPr>
          <w:rStyle w:val="Hyperlink"/>
          <w:i/>
          <w:iCs/>
        </w:rPr>
        <w:fldChar w:fldCharType="end"/>
      </w:r>
      <w:r>
        <w:rPr>
          <w:i/>
          <w:iCs/>
        </w:rPr>
        <w:t>. Указанная система Б (наша) оптимальна по соотношению цена/возможности.</w:t>
      </w:r>
      <w:bookmarkEnd w:id="7"/>
    </w:p>
    <w:p>
      <w:pPr>
        <w:pStyle w:val="BodyText"/>
        <w:rPr/>
      </w:pPr>
      <w:r>
        <w:rPr/>
      </w:r>
    </w:p>
    <w:p>
      <w:pPr>
        <w:pStyle w:val="Heading2"/>
        <w:rPr/>
      </w:pPr>
      <w:bookmarkStart w:id="8" w:name="реализация-подхода-на-stm32f407"/>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[3]</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даёт задержку ~0.54 мс на обработку интервала (10000/18.6e6).</w:t>
      </w:r>
    </w:p>
    <w:p>
      <w:pPr>
        <w:pStyle w:val="BodyText"/>
        <w:rPr/>
      </w:pPr>
      <w:r>
        <w:rPr>
          <w:b/>
          <w:bCs/>
        </w:rPr>
        <w:t>Алгоритмы:</w:t>
      </w:r>
      <w:r>
        <w:rPr/>
        <w:t xml:space="preserve"> В STM32 реализуются только самые тяжёлые или временно-критичные фрагменты: сбор данных, гистограмма, поиск трёх пиков в гистограмме, базовый подсчёт периода (счёт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9"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подсчёт статистики для каждого блока.</w:t>
      </w:r>
      <w:bookmarkEnd w:id="9"/>
    </w:p>
    <w:p>
      <w:pPr>
        <w:pStyle w:val="BodyText"/>
        <w:rPr/>
      </w:pPr>
      <w:r>
        <w:rPr/>
      </w:r>
    </w:p>
    <w:p>
      <w:pPr>
        <w:pStyle w:val="Heading2"/>
        <w:rPr/>
      </w:pPr>
      <w:bookmarkStart w:id="10" w:name="Xf64c5f9ab45e54f798af10260ebac52a5e30d58"/>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[12]</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58">
            <wp:simplePos x="0" y="0"/>
            <wp:positionH relativeFrom="column">
              <wp:align>center</wp:align>
            </wp:positionH>
            <wp:positionV relativeFrom="paragraph">
              <wp:posOffset>635</wp:posOffset>
            </wp:positionV>
            <wp:extent cx="2093595" cy="4816475"/>
            <wp:effectExtent l="0" t="0" r="0" b="0"/>
            <wp:wrapTopAndBottom/>
            <wp:docPr id="4"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неопределённость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подсчётов (в пределах единиц, зависящих от джиттера). В условиях высокой SNR (например, &gt;20–30 дБ) метод даёт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счёта в гистограмме и не изменит пиков. Для жёсткости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трёх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bookmarkStart w:id="11" w:name="Xf64c5f9ab45e54f798af10260ebac52a5e30d58"/>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bookmarkEnd w:id="11"/>
    </w:p>
    <w:p>
      <w:pPr>
        <w:pStyle w:val="BodyText"/>
        <w:rPr/>
      </w:pPr>
      <w:r>
        <w:rPr/>
      </w:r>
    </w:p>
    <w:p>
      <w:pPr>
        <w:pStyle w:val="Heading2"/>
        <w:rPr/>
      </w:pPr>
      <w:bookmarkStart w:id="12" w:name="альтернативы-fft-и-корреляция"/>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[7]</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[5]</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[8]</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компаратора/счётчика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Подойдёт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[6]</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12"/>
    </w:p>
    <w:p>
      <w:pPr>
        <w:pStyle w:val="BodyText"/>
        <w:rPr/>
      </w:pPr>
      <w:r>
        <w:rPr/>
      </w:r>
    </w:p>
    <w:p>
      <w:pPr>
        <w:pStyle w:val="Heading2"/>
        <w:rPr/>
      </w:pPr>
      <w:bookmarkStart w:id="13" w:name="план-экспериментальной-проверки-гл.-3"/>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13"/>
    </w:p>
    <w:p>
      <w:pPr>
        <w:pStyle w:val="BodyText"/>
        <w:rPr/>
      </w:pPr>
      <w:r>
        <w:rPr/>
      </w:r>
    </w:p>
    <w:p>
      <w:pPr>
        <w:pStyle w:val="Heading2"/>
        <w:rPr/>
      </w:pPr>
      <w:r>
        <w:rPr/>
        <w:t>2.9</w:t>
      </w:r>
      <w:bookmarkStart w:id="14"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[12]</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[13]</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передаётся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берётся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трёхпиковый паттерн сохраняется. Для оценки </w:t>
      </w:r>
      <w:r>
        <w:rPr>
          <w:b/>
          <w:bCs/>
        </w:rPr>
        <w:t>частоты</w:t>
      </w:r>
      <w:r>
        <w:rPr/>
        <w:t xml:space="preserve"> используется средний период: например, подсчёт числа отсчётов ADC между совпадениями пиков (или усреднение интервала нулевых пересечений). Конкретный метод – подсчёт среднего количества отсчётов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передаётся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отсчёта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счёт большого объёма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отсчётов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даёт лучшую адаптивность – алгоритмы легко обновляются в ПО, в отличие от жёсткой встроенной логики аналого-цифровых схем.</w:t>
      </w:r>
      <w:bookmarkEnd w:id="14"/>
    </w:p>
    <w:p>
      <w:pPr>
        <w:pStyle w:val="BodyText"/>
        <w:rPr>
          <w:lang w:val="ru-RU"/>
        </w:rPr>
      </w:pPr>
      <w:r>
        <w:rPr>
          <w:lang w:val="ru-RU"/>
        </w:rPr>
      </w:r>
    </w:p>
    <w:p>
      <w:pPr>
        <w:pStyle w:val="BodyText"/>
        <w:rPr>
          <w:lang w:val="ru-RU"/>
        </w:rPr>
      </w:pPr>
      <w:r>
        <w:rPr/>
      </w:r>
      <w:bookmarkStart w:id="15" w:name="__RefHeading___Toc229529024"/>
      <w:bookmarkStart w:id="16" w:name="__RefHeading___Toc229529024"/>
      <w:bookmarkEnd w:id="16"/>
      <w:r>
        <w:br w:type="page"/>
      </w:r>
    </w:p>
    <w:p>
      <w:pPr>
        <w:pStyle w:val="Heading1"/>
        <w:numPr>
          <w:ilvl w:val="0"/>
          <w:numId w:val="1"/>
        </w:numPr>
        <w:rPr/>
      </w:pPr>
      <w:bookmarkStart w:id="17" w:name="__RefHeading___Toc229529025"/>
      <w:bookmarkEnd w:id="17"/>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 xml:space="preserve">Новиков, Ю. Н. Подготовка и защита магистерских диссертаций и бакалаврских работ : учебно-методическое пособие / Ю. Н. Новиков. — 2-е изд., стер. — Санкт-Петербург : Лань, 2022. — 32 с. — ISBN 978-5-8114-1449-9. — Текст : электронный // Лань : электронно-библиотечная система. — URL: </w:t>
      </w:r>
      <w:hyperlink r:id="rId9">
        <w:r>
          <w:rPr>
            <w:rStyle w:val="Hyperlink"/>
            <w:sz w:val="28"/>
            <w:szCs w:val="28"/>
          </w:rPr>
          <w:t>https://e.lanbook.com/book/212054</w:t>
        </w:r>
      </w:hyperlink>
      <w:r>
        <w:rPr>
          <w:sz w:val="28"/>
          <w:szCs w:val="28"/>
        </w:rPr>
        <w:t xml:space="preserve">  (дата обращения: 13.05.2026). — Режим доступа: для авториз. пользователей.</w:t>
      </w:r>
    </w:p>
    <w:p>
      <w:pPr>
        <w:pStyle w:val="BodyText"/>
        <w:rPr>
          <w:rFonts w:ascii="Times New Roman" w:hAnsi="Times New Roman"/>
          <w:sz w:val="28"/>
          <w:szCs w:val="28"/>
        </w:rPr>
      </w:pPr>
      <w:r>
        <w:rPr>
          <w:sz w:val="28"/>
          <w:szCs w:val="28"/>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hyperlink r:id="rId10">
        <w:r>
          <w:rPr>
            <w:rStyle w:val="Hyperlink"/>
            <w:sz w:val="28"/>
            <w:szCs w:val="28"/>
          </w:rPr>
          <w:t>https://www.iprbookshop.ru/72577.html</w:t>
        </w:r>
      </w:hyperlink>
      <w:r>
        <w:rPr>
          <w:sz w:val="28"/>
          <w:szCs w:val="28"/>
        </w:rPr>
        <w:t xml:space="preserve">  (дата обращения: 13.05.2026). — Режим доступа: для авторизир. пользователей</w:t>
      </w:r>
    </w:p>
    <w:p>
      <w:pPr>
        <w:pStyle w:val="BodyText"/>
        <w:rPr>
          <w:rFonts w:ascii="Times New Roman" w:hAnsi="Times New Roman"/>
          <w:b/>
          <w:caps/>
          <w:spacing w:val="-2"/>
          <w:sz w:val="28"/>
          <w:szCs w:val="28"/>
        </w:rPr>
      </w:pPr>
      <w:r>
        <w:rPr>
          <w:sz w:val="28"/>
          <w:szCs w:val="28"/>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hyperlink r:id="rId11">
        <w:r>
          <w:rPr>
            <w:rStyle w:val="Hyperlink"/>
            <w:sz w:val="28"/>
            <w:szCs w:val="28"/>
          </w:rPr>
          <w:t>http://oreluniver.ru/support/education</w:t>
        </w:r>
      </w:hyperlink>
    </w:p>
    <w:p>
      <w:pPr>
        <w:pStyle w:val="BodyText"/>
        <w:rPr>
          <w:rFonts w:ascii="Times New Roman" w:hAnsi="Times New Roman"/>
          <w:sz w:val="28"/>
          <w:szCs w:val="28"/>
        </w:rPr>
      </w:pPr>
      <w:r>
        <w:rPr>
          <w:sz w:val="28"/>
          <w:szCs w:val="28"/>
        </w:rPr>
        <w:t xml:space="preserve">4. Положение о выпускной квалификационной работе — Режим доступа: </w:t>
      </w:r>
      <w:hyperlink r:id="rId12">
        <w:r>
          <w:rPr>
            <w:rStyle w:val="Hyperlink"/>
            <w:sz w:val="28"/>
            <w:szCs w:val="28"/>
          </w:rPr>
          <w:t>http://oreluniver.ru/support/education</w:t>
        </w:r>
      </w:hyperlink>
    </w:p>
    <w:p>
      <w:pPr>
        <w:pStyle w:val="BodyText"/>
        <w:rPr>
          <w:rFonts w:ascii="Times New Roman" w:hAnsi="Times New Roman"/>
          <w:sz w:val="28"/>
          <w:szCs w:val="28"/>
          <w:highlight w:val="yellow"/>
        </w:rPr>
      </w:pPr>
      <w:r>
        <w:rPr>
          <w:sz w:val="28"/>
          <w:szCs w:val="28"/>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color w:val="212529"/>
          <w:shd w:fill="FFFFFF" w:val="clear"/>
        </w:rPr>
        <w:t> </w:t>
      </w:r>
      <w:hyperlink r:id="rId13">
        <w:r>
          <w:rPr>
            <w:rStyle w:val="Hyperlink"/>
            <w:color w:val="0D6EFD"/>
            <w:sz w:val="28"/>
            <w:szCs w:val="28"/>
            <w:shd w:fill="FFFFFF" w:val="clear"/>
          </w:rPr>
          <w:t>https://elib.oreluniver.ru/m/19d3f6fa-9253-4b83-9a09-daa98a7532dd</w:t>
        </w:r>
      </w:hyperlink>
      <w:r>
        <w:rPr/>
        <w:t xml:space="preserve"> </w:t>
      </w:r>
      <w:r>
        <w:rPr>
          <w:sz w:val="28"/>
          <w:szCs w:val="28"/>
        </w:rPr>
        <w:t>(дата обращения: 13.05.2026). — Режим доступа: для авторизир. пользователей</w:t>
      </w:r>
    </w:p>
    <w:p>
      <w:pPr>
        <w:pStyle w:val="BodyText"/>
        <w:rPr/>
      </w:pPr>
      <w:r>
        <w:rPr>
          <w:sz w:val="28"/>
          <w:szCs w:val="28"/>
          <w:shd w:fill="auto" w:val="clear"/>
        </w:rPr>
        <w:t>6.</w:t>
      </w:r>
      <w:r>
        <w:rPr>
          <w:sz w:val="28"/>
          <w:szCs w:val="28"/>
          <w:shd w:fill="auto" w:val="clear"/>
        </w:rPr>
        <w:t xml:space="preserve"> </w:t>
      </w:r>
      <w:r>
        <w:rPr>
          <w:sz w:val="28"/>
          <w:szCs w:val="28"/>
        </w:rPr>
        <w:t xml:space="preserve">Периодические сигналы </w:t>
      </w:r>
      <w:hyperlink r:id="rId14">
        <w:r>
          <w:rPr>
            <w:rStyle w:val="Hyperlink"/>
            <w:sz w:val="28"/>
            <w:szCs w:val="28"/>
          </w:rPr>
          <w:t>https://studfile.net/preview/7013044/page:2</w:t>
        </w:r>
      </w:hyperlink>
    </w:p>
    <w:p>
      <w:pPr>
        <w:pStyle w:val="BodyText"/>
        <w:rPr/>
      </w:pPr>
      <w:r>
        <w:rPr/>
        <w:t>7. Контрольно-индикационный прибор Пикор-Лед. Измерение характеристик изделий https://uwbs.ru/development/example-measurements/</w:t>
      </w:r>
      <w:r>
        <w:br w:type="page"/>
      </w:r>
    </w:p>
    <w:p>
      <w:pPr>
        <w:pStyle w:val="Normal"/>
        <w:shd w:val="clear" w:color="auto" w:fill="FFFFFF"/>
        <w:spacing w:lineRule="auto" w:line="240" w:before="0" w:after="0"/>
        <w:ind w:hanging="0"/>
        <w:rPr>
          <w:rFonts w:ascii="Times New Roman" w:hAnsi="Times New Roman"/>
          <w:sz w:val="28"/>
          <w:szCs w:val="28"/>
        </w:rPr>
      </w:pPr>
      <w:r>
        <w:rPr>
          <w:rFonts w:ascii="Times New Roman" w:hAnsi="Times New Roman"/>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mc:AlternateContent>
          <mc:Choice Requires="wps">
            <w:drawing>
              <wp:anchor behindDoc="0" distT="0" distB="0" distL="114935" distR="114935" simplePos="0" locked="0" layoutInCell="1" allowOverlap="1" relativeHeight="6">
                <wp:simplePos x="0" y="0"/>
                <wp:positionH relativeFrom="column">
                  <wp:posOffset>2840355</wp:posOffset>
                </wp:positionH>
                <wp:positionV relativeFrom="paragraph">
                  <wp:posOffset>-598170</wp:posOffset>
                </wp:positionV>
                <wp:extent cx="680085" cy="248920"/>
                <wp:effectExtent l="5080" t="5080" r="5080" b="5080"/>
                <wp:wrapNone/>
                <wp:docPr id="5" name="Прямоугольник 39"/>
                <a:graphic xmlns:a="http://schemas.openxmlformats.org/drawingml/2006/main">
                  <a:graphicData uri="http://schemas.microsoft.com/office/word/2010/wordprocessingShape">
                    <wps:wsp>
                      <wps:cNvSpPr/>
                      <wps:nvSpPr>
                        <wps:cNvPr id="6" name="Прямоугольник 39"/>
                        <wps:cNvSpPr/>
                      </wps:nvSpPr>
                      <wps:spPr>
                        <a:xfrm>
                          <a:off x="0" y="0"/>
                          <a:ext cx="680040" cy="24876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9" fillcolor="white" stroked="t" o:allowincell="f" style="position:absolute;margin-left:223.65pt;margin-top:-47.1pt;width:53.5pt;height:19.55pt;mso-wrap-style:none;v-text-anchor:middle">
                <v:fill o:detectmouseclick="t" type="solid" color2="black"/>
                <v:stroke color="white" weight="9360" joinstyle="round" endcap="flat"/>
                <w10:wrap type="none"/>
              </v:rect>
            </w:pict>
          </mc:Fallback>
        </mc:AlternateConten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18" w:name="__RefHeading___Toc229529026"/>
      <w:bookmarkEnd w:id="18"/>
      <w:r>
        <w:rPr>
          <w:rFonts w:cs="Times New Roman"/>
          <w:color w:val="000000"/>
        </w:rPr>
        <w:t>ПРИЛОЖЕНИЯ</w:t>
      </w:r>
      <w:r>
        <w:br w:type="page"/>
      </w:r>
    </w:p>
    <w:p>
      <w:pPr>
        <w:pStyle w:val="Normal"/>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mc:AlternateContent>
          <mc:Choice Requires="wps">
            <w:drawing>
              <wp:anchor behindDoc="0" distT="0" distB="0" distL="114935" distR="114935" simplePos="0" locked="0" layoutInCell="1" allowOverlap="1" relativeHeight="3">
                <wp:simplePos x="0" y="0"/>
                <wp:positionH relativeFrom="column">
                  <wp:posOffset>2739390</wp:posOffset>
                </wp:positionH>
                <wp:positionV relativeFrom="paragraph">
                  <wp:posOffset>-750570</wp:posOffset>
                </wp:positionV>
                <wp:extent cx="970915" cy="400050"/>
                <wp:effectExtent l="5080" t="5080" r="5080" b="5080"/>
                <wp:wrapNone/>
                <wp:docPr id="7" name="Прямоугольник 38"/>
                <a:graphic xmlns:a="http://schemas.openxmlformats.org/drawingml/2006/main">
                  <a:graphicData uri="http://schemas.microsoft.com/office/word/2010/wordprocessingShape">
                    <wps:wsp>
                      <wps:cNvSpPr/>
                      <wps:nvSpPr>
                        <wps:cNvPr id="8" name="Прямоугольник 38"/>
                        <wps:cNvSpPr/>
                      </wps:nvSpPr>
                      <wps:spPr>
                        <a:xfrm>
                          <a:off x="0" y="0"/>
                          <a:ext cx="970920" cy="39996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8" fillcolor="white" stroked="t" o:allowincell="f" style="position:absolute;margin-left:215.7pt;margin-top:-59.1pt;width:76.4pt;height:31.4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mc:AlternateContent>
          <mc:Choice Requires="wps">
            <w:drawing>
              <wp:anchor behindDoc="0" distT="0" distB="0" distL="114935" distR="114935" simplePos="0" locked="0" layoutInCell="1" allowOverlap="1" relativeHeight="4">
                <wp:simplePos x="0" y="0"/>
                <wp:positionH relativeFrom="column">
                  <wp:posOffset>2653665</wp:posOffset>
                </wp:positionH>
                <wp:positionV relativeFrom="paragraph">
                  <wp:posOffset>-632460</wp:posOffset>
                </wp:positionV>
                <wp:extent cx="970915" cy="400050"/>
                <wp:effectExtent l="5080" t="5080" r="5080" b="5080"/>
                <wp:wrapNone/>
                <wp:docPr id="9" name="Прямоугольник 37"/>
                <a:graphic xmlns:a="http://schemas.openxmlformats.org/drawingml/2006/main">
                  <a:graphicData uri="http://schemas.microsoft.com/office/word/2010/wordprocessingShape">
                    <wps:wsp>
                      <wps:cNvSpPr/>
                      <wps:nvSpPr>
                        <wps:cNvPr id="10" name="Прямоугольник 37"/>
                        <wps:cNvSpPr/>
                      </wps:nvSpPr>
                      <wps:spPr>
                        <a:xfrm>
                          <a:off x="0" y="0"/>
                          <a:ext cx="970920" cy="39996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7" fillcolor="white" stroked="t" o:allowincell="f" style="position:absolute;margin-left:208.95pt;margin-top:-49.8pt;width:76.4pt;height:31.45pt;mso-wrap-style:none;v-text-anchor:middle">
                <v:fill o:detectmouseclick="t" type="solid" color2="black"/>
                <v:stroke color="white" weight="9360" joinstyle="round" endcap="flat"/>
                <w10:wrap type="none"/>
              </v:rect>
            </w:pict>
          </mc:Fallback>
        </mc:AlternateContent>
        <mc:AlternateContent>
          <mc:Choice Requires="wps">
            <w:drawing>
              <wp:anchor behindDoc="0" distT="0" distB="0" distL="114935" distR="114935" simplePos="0" locked="0" layoutInCell="1" allowOverlap="1" relativeHeight="5">
                <wp:simplePos x="0" y="0"/>
                <wp:positionH relativeFrom="column">
                  <wp:posOffset>3310890</wp:posOffset>
                </wp:positionH>
                <wp:positionV relativeFrom="paragraph">
                  <wp:posOffset>-706755</wp:posOffset>
                </wp:positionV>
                <wp:extent cx="970915" cy="400050"/>
                <wp:effectExtent l="5080" t="5080" r="5080" b="5080"/>
                <wp:wrapNone/>
                <wp:docPr id="11" name="Прямоугольник 36"/>
                <a:graphic xmlns:a="http://schemas.openxmlformats.org/drawingml/2006/main">
                  <a:graphicData uri="http://schemas.microsoft.com/office/word/2010/wordprocessingShape">
                    <wps:wsp>
                      <wps:cNvSpPr/>
                      <wps:nvSpPr>
                        <wps:cNvPr id="12" name="Прямоугольник 36"/>
                        <wps:cNvSpPr/>
                      </wps:nvSpPr>
                      <wps:spPr>
                        <a:xfrm>
                          <a:off x="0" y="0"/>
                          <a:ext cx="970920" cy="39996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6" fillcolor="white" stroked="t" o:allowincell="f" style="position:absolute;margin-left:260.7pt;margin-top:-55.65pt;width:76.4pt;height:31.45pt;mso-wrap-style:none;v-text-anchor:middle">
                <v:fill o:detectmouseclick="t" type="solid" color2="black"/>
                <v:stroke color="white" weight="9360" joinstyle="round" endcap="flat"/>
                <w10:wrap type="none"/>
              </v:rect>
            </w:pict>
          </mc:Fallback>
        </mc:AlternateContent>
      </w: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7"/>
        <w:gridCol w:w="1135"/>
        <w:gridCol w:w="2066"/>
        <w:gridCol w:w="1620"/>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mc:AlternateContent>
          <mc:Choice Requires="wps">
            <w:drawing>
              <wp:anchor behindDoc="0" distT="0" distB="0" distL="114935" distR="114935" simplePos="0" locked="0" layoutInCell="1" allowOverlap="1" relativeHeight="8">
                <wp:simplePos x="0" y="0"/>
                <wp:positionH relativeFrom="column">
                  <wp:posOffset>2823845</wp:posOffset>
                </wp:positionH>
                <wp:positionV relativeFrom="paragraph">
                  <wp:posOffset>-438785</wp:posOffset>
                </wp:positionV>
                <wp:extent cx="666750" cy="295275"/>
                <wp:effectExtent l="5080" t="5080" r="5080" b="5080"/>
                <wp:wrapNone/>
                <wp:docPr id="13" name="Прямоугольник 35"/>
                <a:graphic xmlns:a="http://schemas.openxmlformats.org/drawingml/2006/main">
                  <a:graphicData uri="http://schemas.microsoft.com/office/word/2010/wordprocessingShape">
                    <wps:wsp>
                      <wps:cNvSpPr/>
                      <wps:nvSpPr>
                        <wps:cNvPr id="14" name="Прямоугольник 35"/>
                        <wps:cNvSpPr/>
                      </wps:nvSpPr>
                      <wps:spPr>
                        <a:xfrm>
                          <a:off x="0" y="0"/>
                          <a:ext cx="666720" cy="29520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5" fillcolor="white" stroked="t" o:allowincell="f" style="position:absolute;margin-left:222.35pt;margin-top:-34.55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0" distB="0" distL="114935" distR="114935" simplePos="0" locked="0" layoutInCell="1" allowOverlap="1" relativeHeight="9">
                <wp:simplePos x="0" y="0"/>
                <wp:positionH relativeFrom="column">
                  <wp:posOffset>2861945</wp:posOffset>
                </wp:positionH>
                <wp:positionV relativeFrom="paragraph">
                  <wp:posOffset>-314960</wp:posOffset>
                </wp:positionV>
                <wp:extent cx="666750" cy="295275"/>
                <wp:effectExtent l="5080" t="5080" r="5080" b="5080"/>
                <wp:wrapNone/>
                <wp:docPr id="15" name="Прямоугольник 34"/>
                <a:graphic xmlns:a="http://schemas.openxmlformats.org/drawingml/2006/main">
                  <a:graphicData uri="http://schemas.microsoft.com/office/word/2010/wordprocessingShape">
                    <wps:wsp>
                      <wps:cNvSpPr/>
                      <wps:nvSpPr>
                        <wps:cNvPr id="16" name="Прямоугольник 34"/>
                        <wps:cNvSpPr/>
                      </wps:nvSpPr>
                      <wps:spPr>
                        <a:xfrm>
                          <a:off x="0" y="0"/>
                          <a:ext cx="666720" cy="29520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4"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4"/>
        <w:gridCol w:w="2551"/>
        <w:gridCol w:w="1651"/>
      </w:tblGrid>
      <w:tr>
        <w:trPr/>
        <w:tc>
          <w:tcPr>
            <w:tcW w:w="56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mc:AlternateContent>
          <mc:Choice Requires="wps">
            <w:drawing>
              <wp:anchor behindDoc="0" distT="0" distB="0" distL="114935" distR="114935" simplePos="0" locked="0" layoutInCell="1" allowOverlap="1" relativeHeight="7">
                <wp:simplePos x="0" y="0"/>
                <wp:positionH relativeFrom="column">
                  <wp:posOffset>2596515</wp:posOffset>
                </wp:positionH>
                <wp:positionV relativeFrom="paragraph">
                  <wp:posOffset>-415925</wp:posOffset>
                </wp:positionV>
                <wp:extent cx="1257300" cy="352425"/>
                <wp:effectExtent l="5080" t="5080" r="5080" b="5080"/>
                <wp:wrapNone/>
                <wp:docPr id="17" name="Прямоугольник 33"/>
                <a:graphic xmlns:a="http://schemas.openxmlformats.org/drawingml/2006/main">
                  <a:graphicData uri="http://schemas.microsoft.com/office/word/2010/wordprocessingShape">
                    <wps:wsp>
                      <wps:cNvSpPr/>
                      <wps:nvSpPr>
                        <wps:cNvPr id="18" name="Прямоугольник 33"/>
                        <wps:cNvSpPr/>
                      </wps:nvSpPr>
                      <wps:spPr>
                        <a:xfrm>
                          <a:off x="0" y="0"/>
                          <a:ext cx="1257480" cy="352440"/>
                        </a:xfrm>
                        <a:prstGeom prst="rect">
                          <a:avLst/>
                        </a:prstGeom>
                        <a:solidFill>
                          <a:srgbClr val="ffffff"/>
                        </a:solidFill>
                        <a:ln w="9360">
                          <a:solidFill>
                            <a:srgbClr val="ffffff"/>
                          </a:solidFill>
                          <a:round/>
                        </a:ln>
                      </wps:spPr>
                      <wps:bodyPr/>
                    </wps:wsp>
                  </a:graphicData>
                </a:graphic>
              </wp:anchor>
            </w:drawing>
          </mc:Choice>
          <mc:Fallback>
            <w:pict>
              <v:rect id="shape_0" ID="Прямоугольник 33" fillcolor="white" stroked="t" o:allowincell="f" style="position:absolute;margin-left:204.45pt;margin-top:-32.75pt;width:98.95pt;height:27.7pt;mso-wrap-style:none;v-text-anchor:middle">
                <v:fill o:detectmouseclick="t" type="solid" color2="black"/>
                <v:stroke color="white" weight="9360" joinstyle="round" endcap="flat"/>
                <w10:wrap type="none"/>
              </v:rect>
            </w:pict>
          </mc:Fallback>
        </mc:AlternateContent>
      </w: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15"/>
      <w:headerReference w:type="first" r:id="rId16"/>
      <w:footerReference w:type="default" r:id="rId17"/>
      <w:footerReference w:type="first" r:id="rId18"/>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None/>
              <wp:docPr id="3"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r>
      <mc:AlternateContent>
        <mc:Choice Requires="wps">
          <w:drawing>
            <wp:anchor behindDoc="0" distT="0" distB="0" distL="0" distR="0" simplePos="0" locked="0" layoutInCell="0" allowOverlap="1" relativeHeight="50">
              <wp:simplePos x="0" y="0"/>
              <wp:positionH relativeFrom="margin">
                <wp:align>center</wp:align>
              </wp:positionH>
              <wp:positionV relativeFrom="paragraph">
                <wp:posOffset>635</wp:posOffset>
              </wp:positionV>
              <wp:extent cx="579755" cy="154940"/>
              <wp:effectExtent l="0" t="0" r="0" b="0"/>
              <wp:wrapNone/>
              <wp:docPr id="19" name="Frame2"/>
              <a:graphic xmlns:a="http://schemas.openxmlformats.org/drawingml/2006/main">
                <a:graphicData uri="http://schemas.microsoft.com/office/word/2010/wordprocessingShape">
                  <wps:wsp>
                    <wps:cNvSpPr txBox="1"/>
                    <wps:spPr>
                      <a:xfrm>
                        <a:off x="0" y="0"/>
                        <a:ext cx="579755" cy="154940"/>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45.65pt;height:12.2pt;mso-wrap-distance-left:0pt;mso-wrap-distance-right:0pt;mso-wrap-distance-top:0pt;mso-wrap-distance-bottom:0pt;margin-top:0.05pt;mso-position-vertical-relative:text;margin-left:211.05pt;mso-position-horizontal:center;mso-position-horizontal-relative:margin">
              <v:fill opacity="0f"/>
              <v:textbox inset="0in,0in,0in,0in">
                <w:txbx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4"/>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eastAsia="zh-CN" w:val="ru-RU"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eastAsia="zh-CN" w:val="ru-RU"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eastAsia="zh-CN" w:val="ru-RU"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yperlink" Target="https://e.lanbook.com/book/212054" TargetMode="External"/><Relationship Id="rId10" Type="http://schemas.openxmlformats.org/officeDocument/2006/relationships/hyperlink" Target="https://www.iprbookshop.ru/72577.html" TargetMode="External"/><Relationship Id="rId11" Type="http://schemas.openxmlformats.org/officeDocument/2006/relationships/hyperlink" Target="http://oreluniver.ru/support/education" TargetMode="External"/><Relationship Id="rId12" Type="http://schemas.openxmlformats.org/officeDocument/2006/relationships/hyperlink" Target="http://oreluniver.ru/support/education" TargetMode="External"/><Relationship Id="rId13" Type="http://schemas.openxmlformats.org/officeDocument/2006/relationships/hyperlink" Target="https://elib.oreluniver.ru/m/19d3f6fa-9253-4b83-9a09-daa98a7532dd" TargetMode="External"/><Relationship Id="rId14" Type="http://schemas.openxmlformats.org/officeDocument/2006/relationships/hyperlink" Target="https://studfile.net/preview/7013044/page:2" TargetMode="Externa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159</TotalTime>
  <Application>LibreOffice/24.2.7.2$Linux_X86_64 LibreOffice_project/420$Build-2</Application>
  <AppVersion>15.0000</AppVersion>
  <Pages>45</Pages>
  <Words>7731</Words>
  <Characters>56609</Characters>
  <CharactersWithSpaces>64249</CharactersWithSpaces>
  <Paragraphs>552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2026-05-21T13:11:17Z</dcterms:modified>
  <cp:revision>5</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